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C7B05" w14:textId="77777777" w:rsidR="007D06C7" w:rsidRDefault="00632246"/>
    <w:p w14:paraId="00585074" w14:textId="77777777" w:rsidR="00624259" w:rsidRDefault="00624259"/>
    <w:p w14:paraId="57131941" w14:textId="77777777" w:rsidR="00757CD4" w:rsidRDefault="00757CD4"/>
    <w:p w14:paraId="12BCA56A" w14:textId="77777777" w:rsidR="00757CD4" w:rsidRDefault="00757CD4"/>
    <w:p w14:paraId="6A228A5A" w14:textId="77777777" w:rsidR="00624259" w:rsidRPr="00757CD4" w:rsidRDefault="00757CD4" w:rsidP="00757CD4">
      <w:pPr>
        <w:jc w:val="center"/>
        <w:rPr>
          <w:b/>
          <w:sz w:val="56"/>
          <w:szCs w:val="56"/>
        </w:rPr>
      </w:pPr>
      <w:r w:rsidRPr="00757CD4">
        <w:rPr>
          <w:b/>
          <w:sz w:val="56"/>
          <w:szCs w:val="56"/>
        </w:rPr>
        <w:t>North of England Urological Society</w:t>
      </w:r>
    </w:p>
    <w:p w14:paraId="4A229D66" w14:textId="77777777" w:rsidR="00757CD4" w:rsidRDefault="00757CD4" w:rsidP="00757CD4">
      <w:pPr>
        <w:jc w:val="center"/>
        <w:rPr>
          <w:b/>
          <w:sz w:val="56"/>
          <w:szCs w:val="56"/>
        </w:rPr>
      </w:pPr>
    </w:p>
    <w:p w14:paraId="2CFD31D1" w14:textId="0A0799DF" w:rsidR="00757CD4" w:rsidRPr="00757CD4" w:rsidRDefault="00757CD4" w:rsidP="00757CD4">
      <w:pPr>
        <w:jc w:val="center"/>
        <w:rPr>
          <w:b/>
          <w:sz w:val="56"/>
          <w:szCs w:val="56"/>
        </w:rPr>
      </w:pPr>
      <w:r w:rsidRPr="00757CD4">
        <w:rPr>
          <w:b/>
          <w:sz w:val="56"/>
          <w:szCs w:val="56"/>
        </w:rPr>
        <w:t xml:space="preserve">Annual Meeting </w:t>
      </w:r>
      <w:r w:rsidR="005C080D">
        <w:rPr>
          <w:b/>
          <w:sz w:val="56"/>
          <w:szCs w:val="56"/>
        </w:rPr>
        <w:t>18</w:t>
      </w:r>
      <w:r w:rsidR="005C080D" w:rsidRPr="005C080D">
        <w:rPr>
          <w:b/>
          <w:sz w:val="56"/>
          <w:szCs w:val="56"/>
          <w:vertAlign w:val="superscript"/>
        </w:rPr>
        <w:t>th</w:t>
      </w:r>
      <w:r w:rsidR="005C080D">
        <w:rPr>
          <w:b/>
          <w:sz w:val="56"/>
          <w:szCs w:val="56"/>
        </w:rPr>
        <w:t xml:space="preserve"> October 2019</w:t>
      </w:r>
    </w:p>
    <w:p w14:paraId="086CD7A6" w14:textId="77777777" w:rsidR="00757CD4" w:rsidRDefault="00757CD4" w:rsidP="00757CD4">
      <w:pPr>
        <w:jc w:val="center"/>
        <w:rPr>
          <w:b/>
          <w:sz w:val="56"/>
          <w:szCs w:val="56"/>
        </w:rPr>
      </w:pPr>
    </w:p>
    <w:p w14:paraId="5299C209" w14:textId="77777777" w:rsidR="00757CD4" w:rsidRDefault="00757CD4" w:rsidP="00757CD4">
      <w:pPr>
        <w:jc w:val="center"/>
        <w:rPr>
          <w:b/>
          <w:sz w:val="56"/>
          <w:szCs w:val="56"/>
        </w:rPr>
      </w:pPr>
      <w:r w:rsidRPr="00757CD4">
        <w:rPr>
          <w:b/>
          <w:sz w:val="56"/>
          <w:szCs w:val="56"/>
        </w:rPr>
        <w:t>Abstracts</w:t>
      </w:r>
    </w:p>
    <w:p w14:paraId="6FB5BF17" w14:textId="77777777" w:rsidR="00757CD4" w:rsidRDefault="00757CD4" w:rsidP="00757CD4">
      <w:pPr>
        <w:jc w:val="center"/>
        <w:rPr>
          <w:b/>
          <w:sz w:val="56"/>
          <w:szCs w:val="56"/>
        </w:rPr>
      </w:pPr>
    </w:p>
    <w:p w14:paraId="2A70BDCF" w14:textId="77777777" w:rsidR="00757CD4" w:rsidRDefault="00757CD4" w:rsidP="00757CD4">
      <w:pPr>
        <w:jc w:val="center"/>
        <w:rPr>
          <w:b/>
          <w:sz w:val="56"/>
          <w:szCs w:val="56"/>
        </w:rPr>
      </w:pPr>
    </w:p>
    <w:p w14:paraId="422E69C4" w14:textId="77777777" w:rsidR="00624259" w:rsidRDefault="00624259"/>
    <w:p w14:paraId="099C6D8E" w14:textId="77777777" w:rsidR="00E009BF" w:rsidRDefault="00E009BF"/>
    <w:p w14:paraId="5123A2E6" w14:textId="77777777" w:rsidR="00624259" w:rsidRDefault="00757CD4" w:rsidP="00757CD4">
      <w:pPr>
        <w:ind w:left="720" w:firstLine="720"/>
      </w:pPr>
      <w:r>
        <w:t xml:space="preserve">       </w:t>
      </w:r>
      <w:r>
        <w:rPr>
          <w:noProof/>
          <w:lang w:eastAsia="en-GB"/>
        </w:rPr>
        <w:drawing>
          <wp:inline distT="0" distB="0" distL="0" distR="0" wp14:anchorId="5DD3A904" wp14:editId="1C07E555">
            <wp:extent cx="4226221" cy="1436444"/>
            <wp:effectExtent l="0" t="0" r="3175" b="0"/>
            <wp:docPr id="1" name="Picture 1"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4291871" cy="1458758"/>
                    </a:xfrm>
                    <a:prstGeom prst="rect">
                      <a:avLst/>
                    </a:prstGeom>
                    <a:noFill/>
                    <a:ln>
                      <a:noFill/>
                    </a:ln>
                  </pic:spPr>
                </pic:pic>
              </a:graphicData>
            </a:graphic>
          </wp:inline>
        </w:drawing>
      </w:r>
    </w:p>
    <w:p w14:paraId="5F2D21E0" w14:textId="77777777" w:rsidR="00624259" w:rsidRDefault="00624259"/>
    <w:p w14:paraId="617983C9" w14:textId="77777777" w:rsidR="00624259" w:rsidRDefault="00624259"/>
    <w:p w14:paraId="0DC1A810" w14:textId="77777777" w:rsidR="002D751E" w:rsidRDefault="002D751E"/>
    <w:p w14:paraId="595932D2" w14:textId="77777777" w:rsidR="002D751E" w:rsidRDefault="002D751E"/>
    <w:p w14:paraId="4DFF874B" w14:textId="4F0BDE97" w:rsidR="00624259" w:rsidRPr="00C43F21" w:rsidRDefault="00757CD4">
      <w:pPr>
        <w:rPr>
          <w:b/>
          <w:sz w:val="28"/>
          <w:szCs w:val="28"/>
          <w:u w:val="single"/>
        </w:rPr>
      </w:pPr>
      <w:r w:rsidRPr="00C43F21">
        <w:rPr>
          <w:b/>
          <w:sz w:val="28"/>
          <w:szCs w:val="28"/>
          <w:u w:val="single"/>
        </w:rPr>
        <w:lastRenderedPageBreak/>
        <w:t>S</w:t>
      </w:r>
      <w:r w:rsidR="00624259" w:rsidRPr="00C43F21">
        <w:rPr>
          <w:b/>
          <w:sz w:val="28"/>
          <w:szCs w:val="28"/>
          <w:u w:val="single"/>
        </w:rPr>
        <w:t xml:space="preserve">hort Poster Presentations  </w:t>
      </w:r>
      <w:r w:rsidR="00CC7A03" w:rsidRPr="00C43F21">
        <w:rPr>
          <w:b/>
          <w:sz w:val="28"/>
          <w:szCs w:val="28"/>
          <w:u w:val="single"/>
        </w:rPr>
        <w:t>(</w:t>
      </w:r>
      <w:r w:rsidR="00624259" w:rsidRPr="00C43F21">
        <w:rPr>
          <w:b/>
          <w:sz w:val="28"/>
          <w:szCs w:val="28"/>
          <w:u w:val="single"/>
        </w:rPr>
        <w:t>10.</w:t>
      </w:r>
      <w:r w:rsidR="005C080D" w:rsidRPr="00C43F21">
        <w:rPr>
          <w:b/>
          <w:sz w:val="28"/>
          <w:szCs w:val="28"/>
          <w:u w:val="single"/>
        </w:rPr>
        <w:t>00</w:t>
      </w:r>
      <w:r w:rsidR="00624259" w:rsidRPr="00C43F21">
        <w:rPr>
          <w:b/>
          <w:sz w:val="28"/>
          <w:szCs w:val="28"/>
          <w:u w:val="single"/>
        </w:rPr>
        <w:t xml:space="preserve"> – 11.15</w:t>
      </w:r>
      <w:r w:rsidR="00CC7A03" w:rsidRPr="00C43F21">
        <w:rPr>
          <w:b/>
          <w:sz w:val="28"/>
          <w:szCs w:val="28"/>
          <w:u w:val="single"/>
        </w:rPr>
        <w:t>)</w:t>
      </w:r>
    </w:p>
    <w:p w14:paraId="5EF61C64" w14:textId="77777777" w:rsidR="00624259" w:rsidRPr="00FD3E6E" w:rsidRDefault="00624259">
      <w:pPr>
        <w:rPr>
          <w:b/>
        </w:rPr>
      </w:pPr>
      <w:r w:rsidRPr="00FD3E6E">
        <w:rPr>
          <w:b/>
        </w:rPr>
        <w:t xml:space="preserve">Abstract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5017"/>
      </w:tblGrid>
      <w:tr w:rsidR="005C080D" w:rsidRPr="005C080D" w14:paraId="2E1AC3DD" w14:textId="77777777" w:rsidTr="005C080D">
        <w:tc>
          <w:tcPr>
            <w:tcW w:w="5326" w:type="dxa"/>
            <w:tcBorders>
              <w:top w:val="single" w:sz="4" w:space="0" w:color="auto"/>
              <w:left w:val="single" w:sz="4" w:space="0" w:color="auto"/>
              <w:bottom w:val="single" w:sz="4" w:space="0" w:color="auto"/>
              <w:right w:val="single" w:sz="4" w:space="0" w:color="auto"/>
            </w:tcBorders>
          </w:tcPr>
          <w:p w14:paraId="38F76B48"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Name of Presenter</w:t>
            </w:r>
            <w:r w:rsidRPr="005C080D">
              <w:rPr>
                <w:rFonts w:ascii="Calibri" w:eastAsia="Calibri" w:hAnsi="Calibri" w:cs="Times New Roman"/>
              </w:rPr>
              <w:t xml:space="preserve">: Kamran </w:t>
            </w:r>
            <w:proofErr w:type="spellStart"/>
            <w:r w:rsidRPr="005C080D">
              <w:rPr>
                <w:rFonts w:ascii="Calibri" w:eastAsia="Calibri" w:hAnsi="Calibri" w:cs="Times New Roman"/>
              </w:rPr>
              <w:t>Haq</w:t>
            </w:r>
            <w:proofErr w:type="spellEnd"/>
            <w:r w:rsidRPr="005C080D">
              <w:rPr>
                <w:rFonts w:ascii="Calibri" w:eastAsia="Calibri" w:hAnsi="Calibri" w:cs="Times New Roman"/>
              </w:rPr>
              <w:t xml:space="preserve"> </w:t>
            </w:r>
          </w:p>
        </w:tc>
        <w:tc>
          <w:tcPr>
            <w:tcW w:w="5017" w:type="dxa"/>
            <w:tcBorders>
              <w:top w:val="single" w:sz="4" w:space="0" w:color="auto"/>
              <w:left w:val="single" w:sz="4" w:space="0" w:color="auto"/>
              <w:bottom w:val="single" w:sz="4" w:space="0" w:color="auto"/>
              <w:right w:val="single" w:sz="4" w:space="0" w:color="auto"/>
            </w:tcBorders>
            <w:hideMark/>
          </w:tcPr>
          <w:p w14:paraId="06DB821A"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Training grade/post</w:t>
            </w:r>
            <w:r w:rsidRPr="005C080D">
              <w:rPr>
                <w:rFonts w:ascii="Calibri" w:eastAsia="Calibri" w:hAnsi="Calibri" w:cs="Times New Roman"/>
              </w:rPr>
              <w:t>: ST5</w:t>
            </w:r>
          </w:p>
        </w:tc>
      </w:tr>
      <w:tr w:rsidR="005C080D" w:rsidRPr="005C080D" w14:paraId="3B674026"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53D8B366"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Institution</w:t>
            </w:r>
            <w:r w:rsidRPr="005C080D">
              <w:rPr>
                <w:rFonts w:ascii="Calibri" w:eastAsia="Calibri" w:hAnsi="Calibri" w:cs="Times New Roman"/>
              </w:rPr>
              <w:t xml:space="preserve">: Sunderland Royal Hospital </w:t>
            </w:r>
          </w:p>
        </w:tc>
      </w:tr>
      <w:tr w:rsidR="005C080D" w:rsidRPr="005C080D" w14:paraId="2F34014C"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0B9A1143" w14:textId="77777777" w:rsidR="005C080D" w:rsidRPr="00FD3E6E" w:rsidRDefault="005C080D" w:rsidP="005C080D">
            <w:pPr>
              <w:spacing w:after="0" w:line="240" w:lineRule="auto"/>
              <w:rPr>
                <w:rFonts w:ascii="Calibri" w:eastAsia="Calibri" w:hAnsi="Calibri" w:cs="Times New Roman"/>
              </w:rPr>
            </w:pPr>
            <w:r w:rsidRPr="005C080D">
              <w:rPr>
                <w:rFonts w:ascii="Calibri" w:eastAsia="Calibri" w:hAnsi="Calibri" w:cs="Times New Roman"/>
                <w:b/>
              </w:rPr>
              <w:t>Title of Presentation</w:t>
            </w:r>
            <w:r w:rsidRPr="005C080D">
              <w:rPr>
                <w:rFonts w:ascii="Calibri" w:eastAsia="Calibri" w:hAnsi="Calibri" w:cs="Times New Roman"/>
              </w:rPr>
              <w:t>:</w:t>
            </w:r>
          </w:p>
          <w:p w14:paraId="4E4E5C33" w14:textId="43C5855D" w:rsidR="005C080D" w:rsidRPr="005C080D" w:rsidRDefault="005C080D" w:rsidP="005C080D">
            <w:pPr>
              <w:spacing w:after="0" w:line="240" w:lineRule="auto"/>
              <w:rPr>
                <w:rFonts w:ascii="Calibri" w:eastAsia="Calibri" w:hAnsi="Calibri" w:cs="Times New Roman"/>
              </w:rPr>
            </w:pPr>
            <w:r w:rsidRPr="005C080D">
              <w:rPr>
                <w:rFonts w:ascii="Calibri" w:eastAsia="Times New Roman" w:hAnsi="Calibri" w:cs="Times New Roman"/>
                <w:bCs/>
                <w:color w:val="000000"/>
              </w:rPr>
              <w:t>Safety and initial functional results following Robotic Ureterolysis in Retroperitoneal Fibrosis</w:t>
            </w:r>
          </w:p>
        </w:tc>
      </w:tr>
      <w:tr w:rsidR="005C080D" w:rsidRPr="005C080D" w14:paraId="146D1A12"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3F5E0185" w14:textId="13237C36"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Authors</w:t>
            </w:r>
            <w:r w:rsidRPr="005C080D">
              <w:rPr>
                <w:rFonts w:ascii="Calibri" w:eastAsia="Calibri" w:hAnsi="Calibri" w:cs="Times New Roman"/>
              </w:rPr>
              <w:t>:</w:t>
            </w:r>
            <w:r w:rsidRPr="00FD3E6E">
              <w:rPr>
                <w:rFonts w:ascii="Calibri" w:eastAsia="Calibri" w:hAnsi="Calibri" w:cs="Times New Roman"/>
              </w:rPr>
              <w:t xml:space="preserve"> </w:t>
            </w:r>
            <w:proofErr w:type="spellStart"/>
            <w:r w:rsidRPr="005C080D">
              <w:rPr>
                <w:rFonts w:ascii="Calibri" w:eastAsia="Calibri" w:hAnsi="Calibri" w:cs="Times New Roman"/>
              </w:rPr>
              <w:t>Haq</w:t>
            </w:r>
            <w:proofErr w:type="spellEnd"/>
            <w:r w:rsidRPr="005C080D">
              <w:rPr>
                <w:rFonts w:ascii="Calibri" w:eastAsia="Calibri" w:hAnsi="Calibri" w:cs="Times New Roman"/>
              </w:rPr>
              <w:t xml:space="preserve"> K, Whyte E, </w:t>
            </w:r>
            <w:proofErr w:type="spellStart"/>
            <w:r w:rsidRPr="005C080D">
              <w:rPr>
                <w:rFonts w:ascii="Calibri" w:eastAsia="Calibri" w:hAnsi="Calibri" w:cs="Times New Roman"/>
              </w:rPr>
              <w:t>Sahadevan</w:t>
            </w:r>
            <w:proofErr w:type="spellEnd"/>
            <w:r w:rsidRPr="005C080D">
              <w:rPr>
                <w:rFonts w:ascii="Calibri" w:eastAsia="Calibri" w:hAnsi="Calibri" w:cs="Times New Roman"/>
              </w:rPr>
              <w:t xml:space="preserve"> K </w:t>
            </w:r>
          </w:p>
        </w:tc>
      </w:tr>
      <w:tr w:rsidR="005C080D" w:rsidRPr="005C080D" w14:paraId="192FD760"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388DD458"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Aims</w:t>
            </w:r>
            <w:r w:rsidRPr="005C080D">
              <w:rPr>
                <w:rFonts w:ascii="Calibri" w:eastAsia="Calibri" w:hAnsi="Calibri" w:cs="Times New Roman"/>
              </w:rPr>
              <w:t>:</w:t>
            </w:r>
          </w:p>
          <w:p w14:paraId="34180977" w14:textId="77777777" w:rsidR="005C080D" w:rsidRPr="005C080D" w:rsidRDefault="005C080D" w:rsidP="005C080D">
            <w:pPr>
              <w:spacing w:after="0" w:line="240" w:lineRule="auto"/>
              <w:rPr>
                <w:rFonts w:ascii="Calibri" w:eastAsia="Times New Roman" w:hAnsi="Calibri" w:cs="Times New Roman"/>
                <w:color w:val="000000"/>
              </w:rPr>
            </w:pPr>
            <w:r w:rsidRPr="005C080D">
              <w:rPr>
                <w:rFonts w:ascii="Calibri" w:eastAsia="Times New Roman" w:hAnsi="Calibri" w:cs="Times New Roman"/>
                <w:color w:val="000000"/>
              </w:rPr>
              <w:t>Retroperitoneal fibrosis (RPF) is a rare disease, commonly obstructing the ureters. Persistent renal failure is frequently observed even with ureteric stents in situ. Ureterolysis is emerging as a first choice treatment. Here we discuss the safety profile and functional results of robotic ureterolysis</w:t>
            </w:r>
          </w:p>
        </w:tc>
      </w:tr>
      <w:tr w:rsidR="005C080D" w:rsidRPr="005C080D" w14:paraId="5E75124A"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5B6639BE"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Methods</w:t>
            </w:r>
            <w:r w:rsidRPr="005C080D">
              <w:rPr>
                <w:rFonts w:ascii="Calibri" w:eastAsia="Calibri" w:hAnsi="Calibri" w:cs="Times New Roman"/>
              </w:rPr>
              <w:t>:</w:t>
            </w:r>
          </w:p>
          <w:p w14:paraId="7BC20CE1" w14:textId="77777777" w:rsidR="005C080D" w:rsidRPr="005C080D" w:rsidRDefault="005C080D" w:rsidP="00273473">
            <w:pPr>
              <w:spacing w:after="0" w:line="240" w:lineRule="auto"/>
              <w:rPr>
                <w:rFonts w:ascii="Calibri" w:eastAsia="Times New Roman" w:hAnsi="Calibri" w:cs="Times New Roman"/>
                <w:color w:val="000000"/>
              </w:rPr>
            </w:pPr>
            <w:r w:rsidRPr="005C080D">
              <w:rPr>
                <w:rFonts w:ascii="Calibri" w:eastAsia="Times New Roman" w:hAnsi="Calibri" w:cs="Times New Roman"/>
                <w:color w:val="000000"/>
              </w:rPr>
              <w:t>Retrospective review of all robotic ureterolysis (RU) cases undertaken in a single centre was performed.  Data was obtained from the electronic patient record.</w:t>
            </w:r>
          </w:p>
        </w:tc>
      </w:tr>
      <w:tr w:rsidR="005C080D" w:rsidRPr="005C080D" w14:paraId="07656CBE"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4C4B9924"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Results</w:t>
            </w:r>
            <w:r w:rsidRPr="005C080D">
              <w:rPr>
                <w:rFonts w:ascii="Calibri" w:eastAsia="Calibri" w:hAnsi="Calibri" w:cs="Times New Roman"/>
              </w:rPr>
              <w:t>:</w:t>
            </w:r>
          </w:p>
          <w:p w14:paraId="0B3EE860" w14:textId="77777777" w:rsidR="005C080D" w:rsidRPr="005C080D" w:rsidRDefault="005C080D" w:rsidP="005C080D">
            <w:pPr>
              <w:spacing w:after="0" w:line="240" w:lineRule="auto"/>
              <w:rPr>
                <w:rFonts w:ascii="Calibri" w:eastAsia="Times New Roman" w:hAnsi="Calibri" w:cs="Times New Roman"/>
                <w:color w:val="000000"/>
              </w:rPr>
            </w:pPr>
            <w:r w:rsidRPr="005C080D">
              <w:rPr>
                <w:rFonts w:ascii="Calibri" w:eastAsia="Times New Roman" w:hAnsi="Calibri" w:cs="Times New Roman"/>
                <w:color w:val="000000"/>
              </w:rPr>
              <w:t>All patients were stent dependent prior to their ureterolysis and required numerous stent changes (mean = 3.5 changes).  RU was performed in four patients (2 bilateral, 2 unilateral). One had a nephrectomy for non-functioning kidney at the same time. Mean operating time for bilateral procedures was 5h 40min and 3h 40 min for unilateral procedures. Mean length of stay was 1.5 days.  No intra operative complications occurred. Mean blood loss was less than 100mls. All patients remain stent free at a mean (range) follow up of 12 months (3 to 21 months). Post-operative renograms confirmed non-obstructed kidney in all patients. Three patients have discontinued steroidal therapy and one remains on Mycophenolate because of concomitant biliary fibrosis. No significant post-operative complications or readmissions occurred.  One patient required further balloon dilation of the ureter due to persisting upper tract dilation 1 year following RU. </w:t>
            </w:r>
          </w:p>
        </w:tc>
      </w:tr>
      <w:tr w:rsidR="005C080D" w:rsidRPr="005C080D" w14:paraId="22488A4B"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59095B89"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Conclusion</w:t>
            </w:r>
            <w:r w:rsidRPr="005C080D">
              <w:rPr>
                <w:rFonts w:ascii="Calibri" w:eastAsia="Calibri" w:hAnsi="Calibri" w:cs="Times New Roman"/>
              </w:rPr>
              <w:t>:</w:t>
            </w:r>
          </w:p>
          <w:p w14:paraId="57097E8B" w14:textId="77777777" w:rsidR="005C080D" w:rsidRPr="005C080D" w:rsidRDefault="005C080D" w:rsidP="005C080D">
            <w:pPr>
              <w:spacing w:after="0" w:line="240" w:lineRule="auto"/>
              <w:rPr>
                <w:rFonts w:ascii="Calibri" w:eastAsia="Times New Roman" w:hAnsi="Calibri" w:cs="Times New Roman"/>
                <w:color w:val="000000"/>
              </w:rPr>
            </w:pPr>
            <w:r w:rsidRPr="005C080D">
              <w:rPr>
                <w:rFonts w:ascii="Calibri" w:eastAsia="Times New Roman" w:hAnsi="Calibri" w:cs="Times New Roman"/>
                <w:color w:val="000000"/>
              </w:rPr>
              <w:t>RPF is an uncommon disease and the management of which requires a specialist multidisciplinary approach. Our experience with robotic ureterolysis shows it to be a safe procedure to render patients stent and steroid free. </w:t>
            </w:r>
          </w:p>
        </w:tc>
      </w:tr>
    </w:tbl>
    <w:p w14:paraId="6B83A777" w14:textId="6A775D93" w:rsidR="005C080D" w:rsidRDefault="005C080D" w:rsidP="005C080D">
      <w:pPr>
        <w:spacing w:after="0"/>
        <w:rPr>
          <w:b/>
        </w:rPr>
      </w:pPr>
    </w:p>
    <w:p w14:paraId="004DBA94" w14:textId="40FB8201" w:rsidR="00FD3E6E" w:rsidRDefault="00FD3E6E" w:rsidP="005C080D">
      <w:pPr>
        <w:spacing w:after="0"/>
        <w:rPr>
          <w:b/>
        </w:rPr>
      </w:pPr>
    </w:p>
    <w:p w14:paraId="0BB729B9" w14:textId="0CC85967" w:rsidR="00FD3E6E" w:rsidRDefault="00FD3E6E" w:rsidP="005C080D">
      <w:pPr>
        <w:spacing w:after="0"/>
        <w:rPr>
          <w:b/>
        </w:rPr>
      </w:pPr>
    </w:p>
    <w:p w14:paraId="7D1A8AEC" w14:textId="7E507D03" w:rsidR="00FD3E6E" w:rsidRDefault="00FD3E6E" w:rsidP="005C080D">
      <w:pPr>
        <w:spacing w:after="0"/>
        <w:rPr>
          <w:b/>
        </w:rPr>
      </w:pPr>
    </w:p>
    <w:p w14:paraId="70D8D0E7" w14:textId="48D30EA6" w:rsidR="00FD3E6E" w:rsidRDefault="00FD3E6E" w:rsidP="005C080D">
      <w:pPr>
        <w:spacing w:after="0"/>
        <w:rPr>
          <w:b/>
        </w:rPr>
      </w:pPr>
    </w:p>
    <w:p w14:paraId="63E5E353" w14:textId="054ECC02" w:rsidR="00FD3E6E" w:rsidRDefault="00FD3E6E" w:rsidP="005C080D">
      <w:pPr>
        <w:spacing w:after="0"/>
        <w:rPr>
          <w:b/>
        </w:rPr>
      </w:pPr>
    </w:p>
    <w:p w14:paraId="3AF52EEF" w14:textId="6B16683B" w:rsidR="00FD3E6E" w:rsidRDefault="00FD3E6E" w:rsidP="005C080D">
      <w:pPr>
        <w:spacing w:after="0"/>
        <w:rPr>
          <w:b/>
        </w:rPr>
      </w:pPr>
    </w:p>
    <w:p w14:paraId="55A97E5E" w14:textId="6261BB61" w:rsidR="00FD3E6E" w:rsidRDefault="00FD3E6E" w:rsidP="005C080D">
      <w:pPr>
        <w:spacing w:after="0"/>
        <w:rPr>
          <w:b/>
        </w:rPr>
      </w:pPr>
    </w:p>
    <w:p w14:paraId="5A5E7345" w14:textId="747901A5" w:rsidR="00FD3E6E" w:rsidRDefault="00FD3E6E" w:rsidP="005C080D">
      <w:pPr>
        <w:spacing w:after="0"/>
        <w:rPr>
          <w:b/>
        </w:rPr>
      </w:pPr>
    </w:p>
    <w:p w14:paraId="61410024" w14:textId="15AF3FD2" w:rsidR="00FD3E6E" w:rsidRDefault="00FD3E6E" w:rsidP="005C080D">
      <w:pPr>
        <w:spacing w:after="0"/>
        <w:rPr>
          <w:b/>
        </w:rPr>
      </w:pPr>
    </w:p>
    <w:p w14:paraId="7F300D7D" w14:textId="71826912" w:rsidR="00FD3E6E" w:rsidRDefault="00FD3E6E" w:rsidP="005C080D">
      <w:pPr>
        <w:spacing w:after="0"/>
        <w:rPr>
          <w:b/>
        </w:rPr>
      </w:pPr>
    </w:p>
    <w:p w14:paraId="3305D0B3" w14:textId="012431EE" w:rsidR="00FD3E6E" w:rsidRDefault="00FD3E6E" w:rsidP="005C080D">
      <w:pPr>
        <w:spacing w:after="0"/>
        <w:rPr>
          <w:b/>
        </w:rPr>
      </w:pPr>
    </w:p>
    <w:p w14:paraId="649C3533" w14:textId="57B1D924" w:rsidR="00FD3E6E" w:rsidRDefault="00FD3E6E" w:rsidP="005C080D">
      <w:pPr>
        <w:spacing w:after="0"/>
        <w:rPr>
          <w:b/>
        </w:rPr>
      </w:pPr>
    </w:p>
    <w:p w14:paraId="5CE429CB" w14:textId="38244A48" w:rsidR="00FD3E6E" w:rsidRDefault="00FD3E6E" w:rsidP="005C080D">
      <w:pPr>
        <w:spacing w:after="0"/>
        <w:rPr>
          <w:b/>
        </w:rPr>
      </w:pPr>
    </w:p>
    <w:p w14:paraId="63427775" w14:textId="07EDB267" w:rsidR="00FD3E6E" w:rsidRDefault="00FD3E6E" w:rsidP="005C080D">
      <w:pPr>
        <w:spacing w:after="0"/>
        <w:rPr>
          <w:b/>
        </w:rPr>
      </w:pPr>
    </w:p>
    <w:p w14:paraId="44E1C64D" w14:textId="24814A3F" w:rsidR="00FD3E6E" w:rsidRDefault="00FD3E6E" w:rsidP="005C080D">
      <w:pPr>
        <w:spacing w:after="0"/>
        <w:rPr>
          <w:b/>
        </w:rPr>
      </w:pPr>
    </w:p>
    <w:p w14:paraId="0F0A174D" w14:textId="112C923C" w:rsidR="00FD3E6E" w:rsidRDefault="00FD3E6E" w:rsidP="005C080D">
      <w:pPr>
        <w:spacing w:after="0"/>
        <w:rPr>
          <w:b/>
        </w:rPr>
      </w:pPr>
    </w:p>
    <w:p w14:paraId="75F2B02E" w14:textId="7A5DD13D" w:rsidR="00FD3E6E" w:rsidRDefault="00FD3E6E" w:rsidP="005C080D">
      <w:pPr>
        <w:spacing w:after="0"/>
        <w:rPr>
          <w:b/>
        </w:rPr>
      </w:pPr>
    </w:p>
    <w:p w14:paraId="7C310D2A" w14:textId="00D2F5C7" w:rsidR="00FD3E6E" w:rsidRDefault="00FD3E6E" w:rsidP="005C080D">
      <w:pPr>
        <w:spacing w:after="0"/>
        <w:rPr>
          <w:b/>
        </w:rPr>
      </w:pPr>
    </w:p>
    <w:p w14:paraId="382B8DF6" w14:textId="79F1F8D2" w:rsidR="00FD3E6E" w:rsidRDefault="00FD3E6E" w:rsidP="005C080D">
      <w:pPr>
        <w:spacing w:after="0"/>
        <w:rPr>
          <w:b/>
        </w:rPr>
      </w:pPr>
    </w:p>
    <w:p w14:paraId="52E38F84" w14:textId="77777777" w:rsidR="00FD3E6E" w:rsidRPr="00FD3E6E" w:rsidRDefault="00FD3E6E" w:rsidP="005C080D">
      <w:pPr>
        <w:spacing w:after="0"/>
        <w:rPr>
          <w:b/>
        </w:rPr>
      </w:pPr>
    </w:p>
    <w:p w14:paraId="219370D2" w14:textId="7F05A546" w:rsidR="00624259" w:rsidRDefault="00624259" w:rsidP="005C080D">
      <w:pPr>
        <w:spacing w:after="0"/>
        <w:rPr>
          <w:b/>
        </w:rPr>
      </w:pPr>
      <w:r w:rsidRPr="00FD3E6E">
        <w:rPr>
          <w:b/>
        </w:rPr>
        <w:lastRenderedPageBreak/>
        <w:t>Abstract 2.</w:t>
      </w:r>
    </w:p>
    <w:p w14:paraId="16A264F8" w14:textId="77777777" w:rsidR="00FD3E6E" w:rsidRPr="00FD3E6E" w:rsidRDefault="00FD3E6E" w:rsidP="005C080D">
      <w:pPr>
        <w:spacing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706"/>
      </w:tblGrid>
      <w:tr w:rsidR="005C080D" w:rsidRPr="005C080D" w14:paraId="015391FE" w14:textId="77777777" w:rsidTr="005C080D">
        <w:tc>
          <w:tcPr>
            <w:tcW w:w="5637" w:type="dxa"/>
            <w:tcBorders>
              <w:top w:val="single" w:sz="4" w:space="0" w:color="auto"/>
              <w:left w:val="single" w:sz="4" w:space="0" w:color="auto"/>
              <w:bottom w:val="single" w:sz="4" w:space="0" w:color="auto"/>
              <w:right w:val="single" w:sz="4" w:space="0" w:color="auto"/>
            </w:tcBorders>
          </w:tcPr>
          <w:p w14:paraId="0DF49FD5" w14:textId="52435AAE"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Name of Presenter</w:t>
            </w:r>
            <w:r w:rsidRPr="005C080D">
              <w:rPr>
                <w:rFonts w:ascii="Calibri" w:eastAsia="Times New Roman" w:hAnsi="Calibri" w:cs="Arial"/>
                <w:lang w:eastAsia="en-GB"/>
              </w:rPr>
              <w:t>:</w:t>
            </w:r>
            <w:r w:rsidRPr="00FD3E6E">
              <w:rPr>
                <w:rFonts w:ascii="Calibri" w:eastAsia="Times New Roman" w:hAnsi="Calibri" w:cs="Arial"/>
                <w:lang w:eastAsia="en-GB"/>
              </w:rPr>
              <w:t xml:space="preserve"> </w:t>
            </w:r>
            <w:r w:rsidRPr="005C080D">
              <w:rPr>
                <w:rFonts w:ascii="Calibri" w:eastAsia="Times New Roman" w:hAnsi="Calibri" w:cs="Times New Roman"/>
                <w:lang w:eastAsia="en-GB"/>
              </w:rPr>
              <w:t>Mark Hanson</w:t>
            </w:r>
          </w:p>
        </w:tc>
        <w:tc>
          <w:tcPr>
            <w:tcW w:w="4706" w:type="dxa"/>
            <w:tcBorders>
              <w:top w:val="single" w:sz="4" w:space="0" w:color="auto"/>
              <w:left w:val="single" w:sz="4" w:space="0" w:color="auto"/>
              <w:bottom w:val="single" w:sz="4" w:space="0" w:color="auto"/>
              <w:right w:val="single" w:sz="4" w:space="0" w:color="auto"/>
            </w:tcBorders>
            <w:hideMark/>
          </w:tcPr>
          <w:p w14:paraId="4CAC194E" w14:textId="37E50E2D"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Training grade/post</w:t>
            </w:r>
            <w:r w:rsidRPr="005C080D">
              <w:rPr>
                <w:rFonts w:ascii="Calibri" w:eastAsia="Times New Roman" w:hAnsi="Calibri" w:cs="Arial"/>
                <w:lang w:eastAsia="en-GB"/>
              </w:rPr>
              <w:t>:</w:t>
            </w:r>
            <w:r w:rsidRPr="00FD3E6E">
              <w:rPr>
                <w:rFonts w:ascii="Calibri" w:eastAsia="Times New Roman" w:hAnsi="Calibri" w:cs="Arial"/>
                <w:lang w:eastAsia="en-GB"/>
              </w:rPr>
              <w:t xml:space="preserve"> </w:t>
            </w:r>
            <w:r w:rsidRPr="005C080D">
              <w:rPr>
                <w:rFonts w:ascii="Calibri" w:eastAsia="Times New Roman" w:hAnsi="Calibri" w:cs="Times New Roman"/>
                <w:lang w:eastAsia="en-GB"/>
              </w:rPr>
              <w:t>FY2</w:t>
            </w:r>
          </w:p>
        </w:tc>
      </w:tr>
      <w:tr w:rsidR="005C080D" w:rsidRPr="005C080D" w14:paraId="702AF373"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7E1469C7"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Institution</w:t>
            </w:r>
            <w:r w:rsidRPr="005C080D">
              <w:rPr>
                <w:rFonts w:ascii="Calibri" w:eastAsia="Times New Roman" w:hAnsi="Calibri" w:cs="Arial"/>
                <w:lang w:eastAsia="en-GB"/>
              </w:rPr>
              <w:t>: Sunderland Royal Hospital</w:t>
            </w:r>
          </w:p>
        </w:tc>
      </w:tr>
      <w:tr w:rsidR="005C080D" w:rsidRPr="005C080D" w14:paraId="01EDD887"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3ACA6768"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Title of Presentation</w:t>
            </w:r>
            <w:r w:rsidRPr="005C080D">
              <w:rPr>
                <w:rFonts w:ascii="Calibri" w:eastAsia="Times New Roman" w:hAnsi="Calibri" w:cs="Arial"/>
                <w:lang w:eastAsia="en-GB"/>
              </w:rPr>
              <w:t xml:space="preserve">: Renal </w:t>
            </w:r>
            <w:proofErr w:type="spellStart"/>
            <w:r w:rsidRPr="005C080D">
              <w:rPr>
                <w:rFonts w:ascii="Calibri" w:eastAsia="Times New Roman" w:hAnsi="Calibri" w:cs="Arial"/>
                <w:lang w:eastAsia="en-GB"/>
              </w:rPr>
              <w:t>Colic:Are</w:t>
            </w:r>
            <w:proofErr w:type="spellEnd"/>
            <w:r w:rsidRPr="005C080D">
              <w:rPr>
                <w:rFonts w:ascii="Calibri" w:eastAsia="Times New Roman" w:hAnsi="Calibri" w:cs="Arial"/>
                <w:lang w:eastAsia="en-GB"/>
              </w:rPr>
              <w:t xml:space="preserve"> we getting it right the first time?</w:t>
            </w:r>
          </w:p>
        </w:tc>
      </w:tr>
      <w:tr w:rsidR="005C080D" w:rsidRPr="005C080D" w14:paraId="1BEA01C8"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1C985B0F"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Authors</w:t>
            </w:r>
            <w:r w:rsidRPr="005C080D">
              <w:rPr>
                <w:rFonts w:ascii="Calibri" w:eastAsia="Times New Roman" w:hAnsi="Calibri" w:cs="Arial"/>
                <w:lang w:eastAsia="en-GB"/>
              </w:rPr>
              <w:t xml:space="preserve">: Ahmed </w:t>
            </w:r>
            <w:proofErr w:type="spellStart"/>
            <w:r w:rsidRPr="005C080D">
              <w:rPr>
                <w:rFonts w:ascii="Calibri" w:eastAsia="Times New Roman" w:hAnsi="Calibri" w:cs="Arial"/>
                <w:lang w:eastAsia="en-GB"/>
              </w:rPr>
              <w:t>Abroaf</w:t>
            </w:r>
            <w:proofErr w:type="spellEnd"/>
            <w:r w:rsidRPr="005C080D">
              <w:rPr>
                <w:rFonts w:ascii="Calibri" w:eastAsia="Times New Roman" w:hAnsi="Calibri" w:cs="Arial"/>
                <w:lang w:eastAsia="en-GB"/>
              </w:rPr>
              <w:t xml:space="preserve">, Mark Hanson, Gary Musgrove, </w:t>
            </w:r>
            <w:proofErr w:type="spellStart"/>
            <w:r w:rsidRPr="005C080D">
              <w:rPr>
                <w:rFonts w:ascii="Calibri" w:eastAsia="Times New Roman" w:hAnsi="Calibri" w:cs="Arial"/>
                <w:lang w:eastAsia="en-GB"/>
              </w:rPr>
              <w:t>Ameet</w:t>
            </w:r>
            <w:proofErr w:type="spellEnd"/>
            <w:r w:rsidRPr="005C080D">
              <w:rPr>
                <w:rFonts w:ascii="Calibri" w:eastAsia="Times New Roman" w:hAnsi="Calibri" w:cs="Arial"/>
                <w:lang w:eastAsia="en-GB"/>
              </w:rPr>
              <w:t xml:space="preserve"> Patel</w:t>
            </w:r>
          </w:p>
        </w:tc>
      </w:tr>
      <w:tr w:rsidR="005C080D" w:rsidRPr="005C080D" w14:paraId="3BB4AD79"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7B530A07"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Aims</w:t>
            </w:r>
            <w:r w:rsidRPr="005C080D">
              <w:rPr>
                <w:rFonts w:ascii="Calibri" w:eastAsia="Times New Roman" w:hAnsi="Calibri" w:cs="Arial"/>
                <w:lang w:eastAsia="en-GB"/>
              </w:rPr>
              <w:t>: Comparing our current management of emergency renal colic admissions with the GIRFT results(HES Apr2013-Dec2015)</w:t>
            </w:r>
          </w:p>
        </w:tc>
      </w:tr>
      <w:tr w:rsidR="005C080D" w:rsidRPr="005C080D" w14:paraId="49225DAA"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1D6FC969"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Methods</w:t>
            </w:r>
            <w:r w:rsidRPr="005C080D">
              <w:rPr>
                <w:rFonts w:ascii="Calibri" w:eastAsia="Times New Roman" w:hAnsi="Calibri" w:cs="Arial"/>
                <w:lang w:eastAsia="en-GB"/>
              </w:rPr>
              <w:t>:</w:t>
            </w:r>
          </w:p>
          <w:p w14:paraId="648E7B70"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lang w:eastAsia="en-GB"/>
              </w:rPr>
              <w:t xml:space="preserve">212 patients with suspected renal colic presented between April 2018 &amp; April 2019 to the Urology Rapid Access Unit. Data was collected from a prospectively maintained database at the unit. 126 patients had confirmed ureteric stones diagnosed on CTKUB. The data was compared with the previously published GIRFT results. </w:t>
            </w:r>
          </w:p>
        </w:tc>
      </w:tr>
      <w:tr w:rsidR="005C080D" w:rsidRPr="005C080D" w14:paraId="7C1A007D"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467024C4"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Results</w:t>
            </w:r>
            <w:r w:rsidRPr="005C080D">
              <w:rPr>
                <w:rFonts w:ascii="Calibri" w:eastAsia="Times New Roman" w:hAnsi="Calibri" w:cs="Arial"/>
                <w:lang w:eastAsia="en-GB"/>
              </w:rPr>
              <w:t>:</w:t>
            </w:r>
          </w:p>
          <w:p w14:paraId="301A0C16" w14:textId="66428D14"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lang w:eastAsia="en-GB"/>
              </w:rPr>
              <w:t>71.4% (n=90) patients were treated conservatively on initial admission with a 1 day median length of stay. Initial intervention and time to deferred treatment rates (compared to GIRFT data) are presented in the table below. The average length of stay for both admissions was 2 days.</w:t>
            </w:r>
          </w:p>
          <w:tbl>
            <w:tblPr>
              <w:tblStyle w:val="TableGrid"/>
              <w:tblW w:w="9376" w:type="dxa"/>
              <w:tblLook w:val="04A0" w:firstRow="1" w:lastRow="0" w:firstColumn="1" w:lastColumn="0" w:noHBand="0" w:noVBand="1"/>
            </w:tblPr>
            <w:tblGrid>
              <w:gridCol w:w="1809"/>
              <w:gridCol w:w="1418"/>
              <w:gridCol w:w="2079"/>
              <w:gridCol w:w="1984"/>
              <w:gridCol w:w="2086"/>
            </w:tblGrid>
            <w:tr w:rsidR="005C080D" w:rsidRPr="005C080D" w14:paraId="7D225D92" w14:textId="77777777" w:rsidTr="00562646">
              <w:tc>
                <w:tcPr>
                  <w:tcW w:w="3227" w:type="dxa"/>
                  <w:gridSpan w:val="2"/>
                </w:tcPr>
                <w:p w14:paraId="724E78B0" w14:textId="77777777" w:rsidR="005C080D" w:rsidRPr="005C080D" w:rsidRDefault="005C080D" w:rsidP="005C080D">
                  <w:pPr>
                    <w:spacing w:after="0" w:line="240" w:lineRule="auto"/>
                    <w:rPr>
                      <w:rFonts w:ascii="Calibri" w:hAnsi="Calibri" w:cs="Arial"/>
                    </w:rPr>
                  </w:pPr>
                </w:p>
              </w:tc>
              <w:tc>
                <w:tcPr>
                  <w:tcW w:w="2079" w:type="dxa"/>
                </w:tcPr>
                <w:p w14:paraId="4778E9D4"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b/>
                      <w:bCs/>
                      <w:color w:val="212121"/>
                    </w:rPr>
                    <w:t>GIRFT National Average</w:t>
                  </w:r>
                </w:p>
              </w:tc>
              <w:tc>
                <w:tcPr>
                  <w:tcW w:w="1984" w:type="dxa"/>
                </w:tcPr>
                <w:p w14:paraId="04AF4775"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b/>
                      <w:bCs/>
                      <w:color w:val="212121"/>
                    </w:rPr>
                    <w:t>GIRFT Sunderland Average</w:t>
                  </w:r>
                </w:p>
              </w:tc>
              <w:tc>
                <w:tcPr>
                  <w:tcW w:w="2086" w:type="dxa"/>
                </w:tcPr>
                <w:p w14:paraId="5354F406" w14:textId="77777777" w:rsidR="005C080D" w:rsidRPr="005C080D" w:rsidRDefault="005C080D" w:rsidP="005C080D">
                  <w:pPr>
                    <w:spacing w:after="0" w:line="240" w:lineRule="auto"/>
                    <w:rPr>
                      <w:rFonts w:ascii="Calibri" w:hAnsi="Calibri" w:cs="Calibri"/>
                      <w:b/>
                      <w:bCs/>
                      <w:color w:val="212121"/>
                    </w:rPr>
                  </w:pPr>
                  <w:r w:rsidRPr="005C080D">
                    <w:rPr>
                      <w:rFonts w:ascii="Calibri" w:hAnsi="Calibri" w:cs="Calibri"/>
                      <w:b/>
                      <w:bCs/>
                      <w:color w:val="212121"/>
                    </w:rPr>
                    <w:t>Current Sunderland Results</w:t>
                  </w:r>
                </w:p>
              </w:tc>
            </w:tr>
            <w:tr w:rsidR="005C080D" w:rsidRPr="005C080D" w14:paraId="65B1BFAD" w14:textId="77777777" w:rsidTr="00562646">
              <w:tc>
                <w:tcPr>
                  <w:tcW w:w="3227" w:type="dxa"/>
                  <w:gridSpan w:val="2"/>
                </w:tcPr>
                <w:p w14:paraId="2A6CB09D"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b/>
                      <w:bCs/>
                      <w:color w:val="212121"/>
                    </w:rPr>
                    <w:t>Stent procedures</w:t>
                  </w:r>
                </w:p>
              </w:tc>
              <w:tc>
                <w:tcPr>
                  <w:tcW w:w="2079" w:type="dxa"/>
                </w:tcPr>
                <w:p w14:paraId="26C03334"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color w:val="212121"/>
                    </w:rPr>
                    <w:t>17%</w:t>
                  </w:r>
                </w:p>
              </w:tc>
              <w:tc>
                <w:tcPr>
                  <w:tcW w:w="1984" w:type="dxa"/>
                </w:tcPr>
                <w:p w14:paraId="36792643"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color w:val="212121"/>
                    </w:rPr>
                    <w:t>27%</w:t>
                  </w:r>
                </w:p>
              </w:tc>
              <w:tc>
                <w:tcPr>
                  <w:tcW w:w="2086" w:type="dxa"/>
                </w:tcPr>
                <w:p w14:paraId="60BDA00B" w14:textId="77777777" w:rsidR="005C080D" w:rsidRPr="005C080D" w:rsidRDefault="005C080D" w:rsidP="005C080D">
                  <w:pPr>
                    <w:spacing w:after="0" w:line="240" w:lineRule="auto"/>
                    <w:rPr>
                      <w:rFonts w:ascii="Calibri" w:hAnsi="Calibri" w:cs="Calibri"/>
                      <w:color w:val="212121"/>
                    </w:rPr>
                  </w:pPr>
                  <w:r w:rsidRPr="005C080D">
                    <w:rPr>
                      <w:rFonts w:ascii="Calibri" w:hAnsi="Calibri" w:cs="Calibri"/>
                      <w:color w:val="212121"/>
                    </w:rPr>
                    <w:t>14.2% (18)</w:t>
                  </w:r>
                </w:p>
              </w:tc>
            </w:tr>
            <w:tr w:rsidR="005C080D" w:rsidRPr="005C080D" w14:paraId="7BF3FD23" w14:textId="77777777" w:rsidTr="00562646">
              <w:tc>
                <w:tcPr>
                  <w:tcW w:w="3227" w:type="dxa"/>
                  <w:gridSpan w:val="2"/>
                </w:tcPr>
                <w:p w14:paraId="6F134F73"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b/>
                      <w:bCs/>
                      <w:color w:val="212121"/>
                    </w:rPr>
                    <w:t xml:space="preserve">URS </w:t>
                  </w:r>
                </w:p>
              </w:tc>
              <w:tc>
                <w:tcPr>
                  <w:tcW w:w="2079" w:type="dxa"/>
                </w:tcPr>
                <w:p w14:paraId="52DBD56E"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color w:val="212121"/>
                    </w:rPr>
                    <w:t>9%</w:t>
                  </w:r>
                </w:p>
              </w:tc>
              <w:tc>
                <w:tcPr>
                  <w:tcW w:w="1984" w:type="dxa"/>
                </w:tcPr>
                <w:p w14:paraId="5697B11B"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color w:val="212121"/>
                    </w:rPr>
                    <w:t>10%</w:t>
                  </w:r>
                </w:p>
              </w:tc>
              <w:tc>
                <w:tcPr>
                  <w:tcW w:w="2086" w:type="dxa"/>
                </w:tcPr>
                <w:p w14:paraId="147231FA" w14:textId="77777777" w:rsidR="005C080D" w:rsidRPr="005C080D" w:rsidRDefault="005C080D" w:rsidP="005C080D">
                  <w:pPr>
                    <w:spacing w:after="0" w:line="240" w:lineRule="auto"/>
                    <w:rPr>
                      <w:rFonts w:ascii="Calibri" w:hAnsi="Calibri" w:cs="Calibri"/>
                      <w:color w:val="212121"/>
                    </w:rPr>
                  </w:pPr>
                  <w:r w:rsidRPr="005C080D">
                    <w:rPr>
                      <w:rFonts w:ascii="Calibri" w:hAnsi="Calibri" w:cs="Calibri"/>
                      <w:color w:val="212121"/>
                    </w:rPr>
                    <w:t>7.1% (9)</w:t>
                  </w:r>
                </w:p>
              </w:tc>
            </w:tr>
            <w:tr w:rsidR="005C080D" w:rsidRPr="005C080D" w14:paraId="38A41911" w14:textId="77777777" w:rsidTr="00562646">
              <w:tc>
                <w:tcPr>
                  <w:tcW w:w="3227" w:type="dxa"/>
                  <w:gridSpan w:val="2"/>
                </w:tcPr>
                <w:p w14:paraId="5A432631"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b/>
                      <w:bCs/>
                      <w:color w:val="212121"/>
                    </w:rPr>
                    <w:t>ESWL</w:t>
                  </w:r>
                </w:p>
              </w:tc>
              <w:tc>
                <w:tcPr>
                  <w:tcW w:w="2079" w:type="dxa"/>
                </w:tcPr>
                <w:p w14:paraId="5D1D1704"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color w:val="212121"/>
                    </w:rPr>
                    <w:t>2.5%</w:t>
                  </w:r>
                </w:p>
              </w:tc>
              <w:tc>
                <w:tcPr>
                  <w:tcW w:w="1984" w:type="dxa"/>
                </w:tcPr>
                <w:p w14:paraId="4008DFE7" w14:textId="77777777" w:rsidR="005C080D" w:rsidRPr="005C080D" w:rsidRDefault="005C080D" w:rsidP="005C080D">
                  <w:pPr>
                    <w:spacing w:after="0" w:line="240" w:lineRule="auto"/>
                    <w:rPr>
                      <w:rFonts w:ascii="&amp;quot" w:hAnsi="&amp;quot" w:cs="Times New Roman"/>
                      <w:color w:val="212121"/>
                    </w:rPr>
                  </w:pPr>
                  <w:r w:rsidRPr="005C080D">
                    <w:rPr>
                      <w:rFonts w:ascii="Calibri" w:hAnsi="Calibri" w:cs="Calibri"/>
                      <w:color w:val="212121"/>
                    </w:rPr>
                    <w:t>5%</w:t>
                  </w:r>
                </w:p>
              </w:tc>
              <w:tc>
                <w:tcPr>
                  <w:tcW w:w="2086" w:type="dxa"/>
                </w:tcPr>
                <w:p w14:paraId="2F826687" w14:textId="77777777" w:rsidR="005C080D" w:rsidRPr="005C080D" w:rsidRDefault="005C080D" w:rsidP="005C080D">
                  <w:pPr>
                    <w:spacing w:after="0" w:line="240" w:lineRule="auto"/>
                    <w:rPr>
                      <w:rFonts w:ascii="Calibri" w:hAnsi="Calibri" w:cs="Calibri"/>
                      <w:color w:val="212121"/>
                    </w:rPr>
                  </w:pPr>
                  <w:r w:rsidRPr="005C080D">
                    <w:rPr>
                      <w:rFonts w:ascii="Calibri" w:hAnsi="Calibri" w:cs="Calibri"/>
                      <w:color w:val="212121"/>
                    </w:rPr>
                    <w:t>7.1% (9)</w:t>
                  </w:r>
                </w:p>
              </w:tc>
            </w:tr>
            <w:tr w:rsidR="005C080D" w:rsidRPr="005C080D" w14:paraId="6371A6AF" w14:textId="77777777" w:rsidTr="00562646">
              <w:trPr>
                <w:trHeight w:val="361"/>
              </w:trPr>
              <w:tc>
                <w:tcPr>
                  <w:tcW w:w="1809" w:type="dxa"/>
                  <w:vMerge w:val="restart"/>
                </w:tcPr>
                <w:p w14:paraId="0A627AB8" w14:textId="77777777" w:rsidR="005C080D" w:rsidRPr="005C080D" w:rsidRDefault="005C080D" w:rsidP="005C080D">
                  <w:pPr>
                    <w:spacing w:after="0" w:line="240" w:lineRule="auto"/>
                    <w:rPr>
                      <w:rFonts w:ascii="Calibri" w:hAnsi="Calibri" w:cs="Calibri"/>
                      <w:b/>
                      <w:bCs/>
                      <w:color w:val="212121"/>
                    </w:rPr>
                  </w:pPr>
                  <w:r w:rsidRPr="005C080D">
                    <w:rPr>
                      <w:rFonts w:ascii="Calibri" w:hAnsi="Calibri" w:cs="Calibri"/>
                      <w:b/>
                      <w:bCs/>
                      <w:color w:val="212121"/>
                    </w:rPr>
                    <w:t>Time (days)</w:t>
                  </w:r>
                </w:p>
                <w:p w14:paraId="7F0A9AA4" w14:textId="77777777" w:rsidR="005C080D" w:rsidRPr="005C080D" w:rsidRDefault="005C080D" w:rsidP="005C080D">
                  <w:pPr>
                    <w:spacing w:after="0" w:line="240" w:lineRule="auto"/>
                    <w:rPr>
                      <w:rFonts w:ascii="Calibri" w:hAnsi="Calibri" w:cs="Calibri"/>
                      <w:b/>
                      <w:bCs/>
                      <w:color w:val="212121"/>
                    </w:rPr>
                  </w:pPr>
                  <w:r w:rsidRPr="005C080D">
                    <w:rPr>
                      <w:rFonts w:ascii="Calibri" w:hAnsi="Calibri" w:cs="Calibri"/>
                      <w:b/>
                      <w:bCs/>
                      <w:color w:val="212121"/>
                    </w:rPr>
                    <w:t xml:space="preserve"> to deferred treatment</w:t>
                  </w:r>
                </w:p>
              </w:tc>
              <w:tc>
                <w:tcPr>
                  <w:tcW w:w="1418" w:type="dxa"/>
                </w:tcPr>
                <w:p w14:paraId="54DB6F73" w14:textId="77777777" w:rsidR="005C080D" w:rsidRPr="005C080D" w:rsidRDefault="005C080D" w:rsidP="005C080D">
                  <w:pPr>
                    <w:spacing w:after="0" w:line="240" w:lineRule="auto"/>
                    <w:rPr>
                      <w:rFonts w:ascii="Calibri" w:hAnsi="Calibri" w:cs="Calibri"/>
                      <w:b/>
                      <w:bCs/>
                      <w:color w:val="212121"/>
                    </w:rPr>
                  </w:pPr>
                  <w:r w:rsidRPr="005C080D">
                    <w:rPr>
                      <w:rFonts w:ascii="Calibri" w:hAnsi="Calibri" w:cs="Calibri"/>
                      <w:b/>
                      <w:bCs/>
                      <w:color w:val="212121"/>
                    </w:rPr>
                    <w:t>Median</w:t>
                  </w:r>
                </w:p>
              </w:tc>
              <w:tc>
                <w:tcPr>
                  <w:tcW w:w="2079" w:type="dxa"/>
                </w:tcPr>
                <w:p w14:paraId="014F81F2" w14:textId="77777777" w:rsidR="005C080D" w:rsidRPr="005C080D" w:rsidRDefault="005C080D" w:rsidP="005C080D">
                  <w:pPr>
                    <w:spacing w:after="0" w:line="240" w:lineRule="auto"/>
                    <w:jc w:val="both"/>
                    <w:rPr>
                      <w:rFonts w:ascii="Calibri" w:hAnsi="Calibri" w:cs="Arial"/>
                    </w:rPr>
                  </w:pPr>
                  <w:r w:rsidRPr="005C080D">
                    <w:rPr>
                      <w:rFonts w:ascii="Calibri" w:hAnsi="Calibri" w:cs="Arial"/>
                    </w:rPr>
                    <w:t>54</w:t>
                  </w:r>
                </w:p>
              </w:tc>
              <w:tc>
                <w:tcPr>
                  <w:tcW w:w="1984" w:type="dxa"/>
                </w:tcPr>
                <w:p w14:paraId="6238DB5B" w14:textId="77777777" w:rsidR="005C080D" w:rsidRPr="005C080D" w:rsidRDefault="005C080D" w:rsidP="005C080D">
                  <w:pPr>
                    <w:spacing w:after="0" w:line="240" w:lineRule="auto"/>
                    <w:rPr>
                      <w:rFonts w:ascii="Calibri" w:hAnsi="Calibri" w:cs="Arial"/>
                    </w:rPr>
                  </w:pPr>
                  <w:r w:rsidRPr="005C080D">
                    <w:rPr>
                      <w:rFonts w:ascii="Calibri" w:hAnsi="Calibri" w:cs="Arial"/>
                    </w:rPr>
                    <w:t>60</w:t>
                  </w:r>
                </w:p>
              </w:tc>
              <w:tc>
                <w:tcPr>
                  <w:tcW w:w="2086" w:type="dxa"/>
                </w:tcPr>
                <w:p w14:paraId="3A4425F9" w14:textId="77777777" w:rsidR="005C080D" w:rsidRPr="005C080D" w:rsidRDefault="005C080D" w:rsidP="005C080D">
                  <w:pPr>
                    <w:spacing w:after="0" w:line="240" w:lineRule="auto"/>
                    <w:rPr>
                      <w:rFonts w:ascii="Calibri" w:hAnsi="Calibri" w:cs="Arial"/>
                    </w:rPr>
                  </w:pPr>
                  <w:r w:rsidRPr="005C080D">
                    <w:rPr>
                      <w:rFonts w:ascii="Calibri" w:hAnsi="Calibri" w:cs="Arial"/>
                    </w:rPr>
                    <w:t>38</w:t>
                  </w:r>
                </w:p>
              </w:tc>
            </w:tr>
            <w:tr w:rsidR="005C080D" w:rsidRPr="005C080D" w14:paraId="02E70A26" w14:textId="77777777" w:rsidTr="00562646">
              <w:trPr>
                <w:trHeight w:val="267"/>
              </w:trPr>
              <w:tc>
                <w:tcPr>
                  <w:tcW w:w="1809" w:type="dxa"/>
                  <w:vMerge/>
                </w:tcPr>
                <w:p w14:paraId="1A1470A0" w14:textId="77777777" w:rsidR="005C080D" w:rsidRPr="005C080D" w:rsidRDefault="005C080D" w:rsidP="005C080D">
                  <w:pPr>
                    <w:spacing w:after="0" w:line="240" w:lineRule="auto"/>
                    <w:rPr>
                      <w:rFonts w:ascii="Calibri" w:hAnsi="Calibri" w:cs="Calibri"/>
                      <w:b/>
                      <w:bCs/>
                      <w:color w:val="212121"/>
                    </w:rPr>
                  </w:pPr>
                </w:p>
              </w:tc>
              <w:tc>
                <w:tcPr>
                  <w:tcW w:w="1418" w:type="dxa"/>
                </w:tcPr>
                <w:p w14:paraId="1D3176EE" w14:textId="77777777" w:rsidR="005C080D" w:rsidRPr="005C080D" w:rsidRDefault="005C080D" w:rsidP="005C080D">
                  <w:pPr>
                    <w:spacing w:after="0" w:line="240" w:lineRule="auto"/>
                    <w:rPr>
                      <w:rFonts w:ascii="Calibri" w:hAnsi="Calibri" w:cs="Calibri"/>
                      <w:b/>
                      <w:bCs/>
                      <w:color w:val="212121"/>
                    </w:rPr>
                  </w:pPr>
                  <w:r w:rsidRPr="005C080D">
                    <w:rPr>
                      <w:rFonts w:ascii="Calibri" w:hAnsi="Calibri" w:cs="Calibri"/>
                      <w:b/>
                      <w:bCs/>
                      <w:color w:val="212121"/>
                    </w:rPr>
                    <w:t>Mean</w:t>
                  </w:r>
                </w:p>
              </w:tc>
              <w:tc>
                <w:tcPr>
                  <w:tcW w:w="2079" w:type="dxa"/>
                </w:tcPr>
                <w:p w14:paraId="0DAC42E9" w14:textId="77777777" w:rsidR="005C080D" w:rsidRPr="005C080D" w:rsidRDefault="005C080D" w:rsidP="005C080D">
                  <w:pPr>
                    <w:spacing w:after="0" w:line="240" w:lineRule="auto"/>
                    <w:jc w:val="both"/>
                    <w:rPr>
                      <w:rFonts w:ascii="Calibri" w:hAnsi="Calibri" w:cs="Arial"/>
                    </w:rPr>
                  </w:pPr>
                  <w:r w:rsidRPr="005C080D">
                    <w:rPr>
                      <w:rFonts w:ascii="Calibri" w:hAnsi="Calibri" w:cs="Arial"/>
                    </w:rPr>
                    <w:t>78.2</w:t>
                  </w:r>
                </w:p>
              </w:tc>
              <w:tc>
                <w:tcPr>
                  <w:tcW w:w="1984" w:type="dxa"/>
                </w:tcPr>
                <w:p w14:paraId="248F8BD6" w14:textId="77777777" w:rsidR="005C080D" w:rsidRPr="005C080D" w:rsidRDefault="005C080D" w:rsidP="005C080D">
                  <w:pPr>
                    <w:spacing w:after="0" w:line="240" w:lineRule="auto"/>
                    <w:rPr>
                      <w:rFonts w:ascii="Calibri" w:hAnsi="Calibri" w:cs="Arial"/>
                    </w:rPr>
                  </w:pPr>
                  <w:r w:rsidRPr="005C080D">
                    <w:rPr>
                      <w:rFonts w:ascii="Calibri" w:hAnsi="Calibri" w:cs="Arial"/>
                    </w:rPr>
                    <w:t>86.4</w:t>
                  </w:r>
                </w:p>
              </w:tc>
              <w:tc>
                <w:tcPr>
                  <w:tcW w:w="2086" w:type="dxa"/>
                </w:tcPr>
                <w:p w14:paraId="31F44425" w14:textId="77777777" w:rsidR="005C080D" w:rsidRPr="005C080D" w:rsidRDefault="005C080D" w:rsidP="005C080D">
                  <w:pPr>
                    <w:spacing w:after="0" w:line="240" w:lineRule="auto"/>
                    <w:rPr>
                      <w:rFonts w:ascii="Calibri" w:hAnsi="Calibri" w:cs="Arial"/>
                    </w:rPr>
                  </w:pPr>
                  <w:r w:rsidRPr="005C080D">
                    <w:rPr>
                      <w:rFonts w:ascii="Calibri" w:hAnsi="Calibri" w:cs="Arial"/>
                    </w:rPr>
                    <w:t>45</w:t>
                  </w:r>
                </w:p>
              </w:tc>
            </w:tr>
          </w:tbl>
          <w:p w14:paraId="747D0AF3" w14:textId="77777777" w:rsidR="005C080D" w:rsidRPr="005C080D" w:rsidRDefault="005C080D" w:rsidP="005C080D">
            <w:pPr>
              <w:spacing w:after="0" w:line="240" w:lineRule="auto"/>
              <w:rPr>
                <w:rFonts w:ascii="Calibri" w:eastAsia="Times New Roman" w:hAnsi="Calibri" w:cs="Times New Roman"/>
                <w:lang w:eastAsia="en-GB"/>
              </w:rPr>
            </w:pPr>
          </w:p>
        </w:tc>
      </w:tr>
      <w:tr w:rsidR="005C080D" w:rsidRPr="005C080D" w14:paraId="7FC1F936"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4FB47250"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b/>
                <w:lang w:eastAsia="en-GB"/>
              </w:rPr>
              <w:t>Conclusion</w:t>
            </w:r>
            <w:r w:rsidRPr="005C080D">
              <w:rPr>
                <w:rFonts w:ascii="Calibri" w:eastAsia="Times New Roman" w:hAnsi="Calibri" w:cs="Arial"/>
                <w:lang w:eastAsia="en-GB"/>
              </w:rPr>
              <w:t>:</w:t>
            </w:r>
          </w:p>
          <w:p w14:paraId="58924DDD" w14:textId="77777777" w:rsidR="005C080D" w:rsidRPr="005C080D" w:rsidRDefault="005C080D" w:rsidP="005C080D">
            <w:pPr>
              <w:spacing w:after="0" w:line="240" w:lineRule="auto"/>
              <w:rPr>
                <w:rFonts w:ascii="Calibri" w:eastAsia="Times New Roman" w:hAnsi="Calibri" w:cs="Arial"/>
                <w:lang w:eastAsia="en-GB"/>
              </w:rPr>
            </w:pPr>
            <w:r w:rsidRPr="005C080D">
              <w:rPr>
                <w:rFonts w:ascii="Calibri" w:eastAsia="Times New Roman" w:hAnsi="Calibri" w:cs="Arial"/>
                <w:lang w:eastAsia="en-GB"/>
              </w:rPr>
              <w:t>Initial stent and primary URS rates are comparable to the national average. Higher ESWL rates may be explained by the availability of daily emergency slots and patient preference for non-invasive treatment. Negative CTKUB (40%) continues to account for a large number of patients presenting with suspected colic.</w:t>
            </w:r>
          </w:p>
        </w:tc>
      </w:tr>
    </w:tbl>
    <w:p w14:paraId="5CEB8550" w14:textId="77777777" w:rsidR="00FD3E6E" w:rsidRPr="00FD3E6E" w:rsidRDefault="00FD3E6E" w:rsidP="005C080D">
      <w:pPr>
        <w:spacing w:after="0" w:line="240" w:lineRule="auto"/>
        <w:rPr>
          <w:b/>
        </w:rPr>
      </w:pPr>
    </w:p>
    <w:p w14:paraId="29EBF5CB" w14:textId="27584524" w:rsidR="00624259" w:rsidRPr="00FD3E6E" w:rsidRDefault="00624259" w:rsidP="005C080D">
      <w:pPr>
        <w:spacing w:line="240" w:lineRule="auto"/>
        <w:rPr>
          <w:b/>
        </w:rPr>
      </w:pPr>
      <w:r w:rsidRPr="00FD3E6E">
        <w:rPr>
          <w:b/>
        </w:rPr>
        <w:t>Abstract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5165"/>
      </w:tblGrid>
      <w:tr w:rsidR="005C080D" w:rsidRPr="005C080D" w14:paraId="2176B378" w14:textId="77777777" w:rsidTr="005C080D">
        <w:tc>
          <w:tcPr>
            <w:tcW w:w="5178" w:type="dxa"/>
            <w:tcBorders>
              <w:top w:val="single" w:sz="4" w:space="0" w:color="auto"/>
              <w:left w:val="single" w:sz="4" w:space="0" w:color="auto"/>
              <w:bottom w:val="single" w:sz="4" w:space="0" w:color="auto"/>
              <w:right w:val="single" w:sz="4" w:space="0" w:color="auto"/>
            </w:tcBorders>
          </w:tcPr>
          <w:p w14:paraId="20F09F07"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Name of Presenter</w:t>
            </w:r>
            <w:r w:rsidRPr="005C080D">
              <w:rPr>
                <w:rFonts w:ascii="Calibri" w:eastAsia="Calibri" w:hAnsi="Calibri" w:cs="Times New Roman"/>
              </w:rPr>
              <w:t>: Arjun Nambiar</w:t>
            </w:r>
          </w:p>
        </w:tc>
        <w:tc>
          <w:tcPr>
            <w:tcW w:w="5165" w:type="dxa"/>
            <w:tcBorders>
              <w:top w:val="single" w:sz="4" w:space="0" w:color="auto"/>
              <w:left w:val="single" w:sz="4" w:space="0" w:color="auto"/>
              <w:bottom w:val="single" w:sz="4" w:space="0" w:color="auto"/>
              <w:right w:val="single" w:sz="4" w:space="0" w:color="auto"/>
            </w:tcBorders>
            <w:hideMark/>
          </w:tcPr>
          <w:p w14:paraId="4A11A1BD"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Training grade/post</w:t>
            </w:r>
            <w:r w:rsidRPr="005C080D">
              <w:rPr>
                <w:rFonts w:ascii="Calibri" w:eastAsia="Calibri" w:hAnsi="Calibri" w:cs="Times New Roman"/>
              </w:rPr>
              <w:t>: ST7</w:t>
            </w:r>
          </w:p>
        </w:tc>
      </w:tr>
      <w:tr w:rsidR="005C080D" w:rsidRPr="005C080D" w14:paraId="783825D4"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61CFB3F8"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Institution</w:t>
            </w:r>
            <w:r w:rsidRPr="005C080D">
              <w:rPr>
                <w:rFonts w:ascii="Calibri" w:eastAsia="Calibri" w:hAnsi="Calibri" w:cs="Times New Roman"/>
              </w:rPr>
              <w:t>: Freeman Hospital</w:t>
            </w:r>
          </w:p>
        </w:tc>
      </w:tr>
      <w:tr w:rsidR="005C080D" w:rsidRPr="005C080D" w14:paraId="11F7145A"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1D103612"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Title of Presentation</w:t>
            </w:r>
            <w:r w:rsidRPr="005C080D">
              <w:rPr>
                <w:rFonts w:ascii="Calibri" w:eastAsia="Calibri" w:hAnsi="Calibri" w:cs="Times New Roman"/>
              </w:rPr>
              <w:t>: The cost of the surgical handwash – in sterling and carbon</w:t>
            </w:r>
          </w:p>
        </w:tc>
      </w:tr>
      <w:tr w:rsidR="005C080D" w:rsidRPr="005C080D" w14:paraId="49AFD42E"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4ED482EE"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Authors</w:t>
            </w:r>
            <w:r w:rsidRPr="005C080D">
              <w:rPr>
                <w:rFonts w:ascii="Calibri" w:eastAsia="Calibri" w:hAnsi="Calibri" w:cs="Times New Roman"/>
              </w:rPr>
              <w:t>: Arjun Nambiar, Yamini Kailash, Victoria Lavin</w:t>
            </w:r>
          </w:p>
        </w:tc>
      </w:tr>
      <w:tr w:rsidR="005C080D" w:rsidRPr="005C080D" w14:paraId="4BCA9663"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35139868" w14:textId="52663FA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Aims</w:t>
            </w:r>
            <w:r w:rsidRPr="005C080D">
              <w:rPr>
                <w:rFonts w:ascii="Calibri" w:eastAsia="Calibri" w:hAnsi="Calibri" w:cs="Times New Roman"/>
              </w:rPr>
              <w:t>: A service evaluation and quality improvement project to assess water use (and waste) in operating theatres, and thereby calculate the financial as well as environmental cost.</w:t>
            </w:r>
          </w:p>
        </w:tc>
      </w:tr>
      <w:tr w:rsidR="005C080D" w:rsidRPr="005C080D" w14:paraId="4993AB12"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0D1068DD" w14:textId="37A4D198"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Methods</w:t>
            </w:r>
            <w:r w:rsidRPr="005C080D">
              <w:rPr>
                <w:rFonts w:ascii="Calibri" w:eastAsia="Calibri" w:hAnsi="Calibri" w:cs="Times New Roman"/>
              </w:rPr>
              <w:t>: Theatre records/databases were consulted to ascertain the number of cases carried out per week in urology theatres and central ops at Freeman Hospital. A specialised flow meter was used to check maximum and average flow rates in each tap and calculate the average water consumption for a typical surgical handwash. Data were then used to calculate total water consumption, financial cost (at the rate of £1.77/m</w:t>
            </w:r>
            <w:r w:rsidRPr="005C080D">
              <w:rPr>
                <w:rFonts w:ascii="Calibri" w:eastAsia="Calibri" w:hAnsi="Calibri" w:cs="Times New Roman"/>
                <w:vertAlign w:val="superscript"/>
              </w:rPr>
              <w:t>3</w:t>
            </w:r>
            <w:r w:rsidRPr="005C080D">
              <w:rPr>
                <w:rFonts w:ascii="Calibri" w:eastAsia="Calibri" w:hAnsi="Calibri" w:cs="Times New Roman"/>
              </w:rPr>
              <w:t>) and environmental impact (carbon emissions at 1Kg CO2 per cubic meter) for one week and one year.</w:t>
            </w:r>
          </w:p>
        </w:tc>
      </w:tr>
      <w:tr w:rsidR="005C080D" w:rsidRPr="005C080D" w14:paraId="71B4A222"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4116A1A3" w14:textId="77777777" w:rsidR="005C080D" w:rsidRPr="005C080D" w:rsidRDefault="005C080D" w:rsidP="005C080D">
            <w:pPr>
              <w:rPr>
                <w:rFonts w:ascii="Calibri" w:eastAsia="Calibri" w:hAnsi="Calibri" w:cs="Times New Roman"/>
              </w:rPr>
            </w:pPr>
            <w:r w:rsidRPr="005C080D">
              <w:rPr>
                <w:rFonts w:ascii="Calibri" w:eastAsia="Calibri" w:hAnsi="Calibri" w:cs="Times New Roman"/>
                <w:b/>
              </w:rPr>
              <w:t>Results</w:t>
            </w:r>
            <w:r w:rsidRPr="005C080D">
              <w:rPr>
                <w:rFonts w:ascii="Calibri" w:eastAsia="Calibri" w:hAnsi="Calibri" w:cs="Times New Roman"/>
              </w:rPr>
              <w:t xml:space="preserve">: 821 urology cases were carried out over 12 weeks, averaging 68.4 cases per week. Maximum flow rates for theatre taps ranged from 16L/min to 45L/min and average flow rates during normal scrubbing between 8-12L/min. Total volume for an average 2min scrub was calculated at 20L. Total water consumption in urology theatre per week was calculated as 10,757L. </w:t>
            </w:r>
          </w:p>
          <w:p w14:paraId="1C43CABA"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rPr>
              <w:t>Costs per year equated to £990 and 559Kg CO2. A saving of £643 and 362Kg CO2 per year could be achieved by reducing daily tap flushes to 1 minute and handwash volumes by one-third.</w:t>
            </w:r>
          </w:p>
          <w:p w14:paraId="6FC4F33F" w14:textId="77777777" w:rsidR="005C080D" w:rsidRPr="005C080D" w:rsidRDefault="005C080D" w:rsidP="005C080D">
            <w:pPr>
              <w:spacing w:after="0" w:line="240" w:lineRule="auto"/>
              <w:rPr>
                <w:rFonts w:ascii="Calibri" w:eastAsia="Calibri" w:hAnsi="Calibri" w:cs="Times New Roman"/>
              </w:rPr>
            </w:pPr>
          </w:p>
        </w:tc>
      </w:tr>
      <w:tr w:rsidR="005C080D" w:rsidRPr="005C080D" w14:paraId="1E399FC9"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39BCE212"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Conclusion</w:t>
            </w:r>
            <w:r w:rsidRPr="005C080D">
              <w:rPr>
                <w:rFonts w:ascii="Calibri" w:eastAsia="Calibri" w:hAnsi="Calibri" w:cs="Times New Roman"/>
              </w:rPr>
              <w:t>: There is significant scope for reduction in water consumption and resultant carbon emissions in theatre. Although the costs per year seem relatively small, these figures are for one department only and would multiply across the trust/country significantly.</w:t>
            </w:r>
          </w:p>
        </w:tc>
      </w:tr>
    </w:tbl>
    <w:p w14:paraId="094460A8" w14:textId="456865E5" w:rsidR="00956BAA" w:rsidRPr="00FD3E6E" w:rsidRDefault="00956BAA" w:rsidP="005C080D">
      <w:pPr>
        <w:spacing w:after="0" w:line="240" w:lineRule="auto"/>
        <w:rPr>
          <w:b/>
        </w:rPr>
      </w:pPr>
      <w:r w:rsidRPr="00FD3E6E">
        <w:rPr>
          <w:b/>
        </w:rPr>
        <w:lastRenderedPageBreak/>
        <w:t>Abstract 4</w:t>
      </w:r>
      <w:r w:rsidR="005C080D" w:rsidRPr="00FD3E6E">
        <w:rPr>
          <w:b/>
        </w:rPr>
        <w:t>.</w:t>
      </w:r>
    </w:p>
    <w:p w14:paraId="3A170CC9" w14:textId="21525409" w:rsidR="005C080D" w:rsidRPr="00FD3E6E" w:rsidRDefault="005C080D" w:rsidP="005C080D">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5165"/>
      </w:tblGrid>
      <w:tr w:rsidR="005C080D" w:rsidRPr="005C080D" w14:paraId="32922432" w14:textId="77777777" w:rsidTr="005C080D">
        <w:tc>
          <w:tcPr>
            <w:tcW w:w="5178" w:type="dxa"/>
            <w:tcBorders>
              <w:top w:val="single" w:sz="4" w:space="0" w:color="auto"/>
              <w:left w:val="single" w:sz="4" w:space="0" w:color="auto"/>
              <w:bottom w:val="single" w:sz="4" w:space="0" w:color="auto"/>
              <w:right w:val="single" w:sz="4" w:space="0" w:color="auto"/>
            </w:tcBorders>
          </w:tcPr>
          <w:p w14:paraId="78FFDDE1"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Name of Presenter</w:t>
            </w:r>
            <w:r w:rsidRPr="005C080D">
              <w:rPr>
                <w:rFonts w:ascii="Calibri" w:eastAsia="Calibri" w:hAnsi="Calibri" w:cs="Times New Roman"/>
              </w:rPr>
              <w:t>: Simon Walker</w:t>
            </w:r>
          </w:p>
        </w:tc>
        <w:tc>
          <w:tcPr>
            <w:tcW w:w="5165" w:type="dxa"/>
            <w:tcBorders>
              <w:top w:val="single" w:sz="4" w:space="0" w:color="auto"/>
              <w:left w:val="single" w:sz="4" w:space="0" w:color="auto"/>
              <w:bottom w:val="single" w:sz="4" w:space="0" w:color="auto"/>
              <w:right w:val="single" w:sz="4" w:space="0" w:color="auto"/>
            </w:tcBorders>
            <w:hideMark/>
          </w:tcPr>
          <w:p w14:paraId="0AEFF4E1"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Training grade/post</w:t>
            </w:r>
            <w:r w:rsidRPr="005C080D">
              <w:rPr>
                <w:rFonts w:ascii="Calibri" w:eastAsia="Calibri" w:hAnsi="Calibri" w:cs="Times New Roman"/>
              </w:rPr>
              <w:t>: CT2</w:t>
            </w:r>
          </w:p>
        </w:tc>
      </w:tr>
      <w:tr w:rsidR="005C080D" w:rsidRPr="005C080D" w14:paraId="69CAEB71"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2B835E71"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Institution</w:t>
            </w:r>
            <w:r w:rsidRPr="005C080D">
              <w:rPr>
                <w:rFonts w:ascii="Calibri" w:eastAsia="Calibri" w:hAnsi="Calibri" w:cs="Times New Roman"/>
              </w:rPr>
              <w:t>:  Sunderland Royal Hospital</w:t>
            </w:r>
          </w:p>
        </w:tc>
      </w:tr>
      <w:tr w:rsidR="005C080D" w:rsidRPr="005C080D" w14:paraId="17FD6AEC"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28B73873"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Title of Presentation</w:t>
            </w:r>
            <w:r w:rsidRPr="005C080D">
              <w:rPr>
                <w:rFonts w:ascii="Calibri" w:eastAsia="Calibri" w:hAnsi="Calibri" w:cs="Times New Roman"/>
              </w:rPr>
              <w:t>:  An audit of peri-operative anticoagulation and bleeding complications</w:t>
            </w:r>
          </w:p>
        </w:tc>
      </w:tr>
      <w:tr w:rsidR="005C080D" w:rsidRPr="005C080D" w14:paraId="22B85FDE" w14:textId="77777777" w:rsidTr="005C080D">
        <w:tc>
          <w:tcPr>
            <w:tcW w:w="10343" w:type="dxa"/>
            <w:gridSpan w:val="2"/>
            <w:tcBorders>
              <w:top w:val="single" w:sz="4" w:space="0" w:color="auto"/>
              <w:left w:val="single" w:sz="4" w:space="0" w:color="auto"/>
              <w:bottom w:val="single" w:sz="4" w:space="0" w:color="auto"/>
              <w:right w:val="single" w:sz="4" w:space="0" w:color="auto"/>
            </w:tcBorders>
          </w:tcPr>
          <w:p w14:paraId="6FFB9CB9"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Authors</w:t>
            </w:r>
            <w:r w:rsidRPr="005C080D">
              <w:rPr>
                <w:rFonts w:ascii="Calibri" w:eastAsia="Calibri" w:hAnsi="Calibri" w:cs="Times New Roman"/>
              </w:rPr>
              <w:t>:  Simon Walker, Helen Morton, Gareth Lewis</w:t>
            </w:r>
          </w:p>
        </w:tc>
      </w:tr>
      <w:tr w:rsidR="005C080D" w:rsidRPr="005C080D" w14:paraId="0EC3798A"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16428877"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Aims</w:t>
            </w:r>
            <w:r w:rsidRPr="005C080D">
              <w:rPr>
                <w:rFonts w:ascii="Calibri" w:eastAsia="Calibri" w:hAnsi="Calibri" w:cs="Times New Roman"/>
              </w:rPr>
              <w:t>:</w:t>
            </w:r>
          </w:p>
          <w:p w14:paraId="1179F548"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rPr>
              <w:t>Several guidelines exist regarding peri-operative control of anticoagulation. We audited our adherence to the British Society for Haematology (BSH) and European Association of Urology (EAU) guidelines, as well as evaluating rate of bleeding complications and relationship to anticoagulation.</w:t>
            </w:r>
          </w:p>
        </w:tc>
      </w:tr>
      <w:tr w:rsidR="005C080D" w:rsidRPr="005C080D" w14:paraId="722DF70C"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7C1A6750"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Methods</w:t>
            </w:r>
            <w:r w:rsidRPr="005C080D">
              <w:rPr>
                <w:rFonts w:ascii="Calibri" w:eastAsia="Calibri" w:hAnsi="Calibri" w:cs="Times New Roman"/>
              </w:rPr>
              <w:t>:</w:t>
            </w:r>
          </w:p>
          <w:p w14:paraId="1BFA7382"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rPr>
              <w:t>Retrospective cohort study of all elective operations at a single centre between 1</w:t>
            </w:r>
            <w:r w:rsidRPr="005C080D">
              <w:rPr>
                <w:rFonts w:ascii="Calibri" w:eastAsia="Calibri" w:hAnsi="Calibri" w:cs="Times New Roman"/>
                <w:vertAlign w:val="superscript"/>
              </w:rPr>
              <w:t>st</w:t>
            </w:r>
            <w:r w:rsidRPr="005C080D">
              <w:rPr>
                <w:rFonts w:ascii="Calibri" w:eastAsia="Calibri" w:hAnsi="Calibri" w:cs="Times New Roman"/>
              </w:rPr>
              <w:t xml:space="preserve"> March – 30</w:t>
            </w:r>
            <w:r w:rsidRPr="005C080D">
              <w:rPr>
                <w:rFonts w:ascii="Calibri" w:eastAsia="Calibri" w:hAnsi="Calibri" w:cs="Times New Roman"/>
                <w:vertAlign w:val="superscript"/>
              </w:rPr>
              <w:t>th</w:t>
            </w:r>
            <w:r w:rsidRPr="005C080D">
              <w:rPr>
                <w:rFonts w:ascii="Calibri" w:eastAsia="Calibri" w:hAnsi="Calibri" w:cs="Times New Roman"/>
              </w:rPr>
              <w:t xml:space="preserve"> April 2019. Audit standards were derived from the EAU and BSH guidelines, and electronic records were reviewed. </w:t>
            </w:r>
          </w:p>
        </w:tc>
      </w:tr>
      <w:tr w:rsidR="005C080D" w:rsidRPr="005C080D" w14:paraId="27C14BC4"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686B89BC"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Results</w:t>
            </w:r>
            <w:r w:rsidRPr="005C080D">
              <w:rPr>
                <w:rFonts w:ascii="Calibri" w:eastAsia="Calibri" w:hAnsi="Calibri" w:cs="Times New Roman"/>
              </w:rPr>
              <w:t>:</w:t>
            </w:r>
          </w:p>
          <w:p w14:paraId="008FCD3D"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rPr>
              <w:t xml:space="preserve">488 patients underwent an elective urological procedure; 108 females (22.1%) and 380 males (77.9%). Mean age was 62.8 years. 137 (28.1%) were on thromboprophylaxis – 81 (59%) aspirin only, 56 on antiplatelet or anticoagulation therapies (most commonly Warfarin and Clopidogrel). Of these 56, 54 (96.4%) had a documented pre-operative plan, 2 did not. There was no documented post-operative plan in 39.3% of cases. 9 audit standards were derived from the identified guidelines. 100% compliance was achieved in 4 standards, </w:t>
            </w:r>
            <w:r w:rsidRPr="005C080D">
              <w:rPr>
                <w:rFonts w:ascii="Calibri" w:eastAsia="Calibri" w:hAnsi="Calibri" w:cs="Times New Roman"/>
                <w:u w:val="single"/>
              </w:rPr>
              <w:t>&gt;</w:t>
            </w:r>
            <w:r w:rsidRPr="005C080D">
              <w:rPr>
                <w:rFonts w:ascii="Calibri" w:eastAsia="Calibri" w:hAnsi="Calibri" w:cs="Times New Roman"/>
              </w:rPr>
              <w:t xml:space="preserve"> 90% compliance in 7. Post-operative recommencement had the lowest compliance (36% for low bleeding risk and 51.6% for high bleeding risk procedures). Complication rate within 28 days was 11.5% (56 patients). </w:t>
            </w:r>
            <w:proofErr w:type="spellStart"/>
            <w:r w:rsidRPr="005C080D">
              <w:rPr>
                <w:rFonts w:ascii="Calibri" w:eastAsia="Calibri" w:hAnsi="Calibri" w:cs="Times New Roman"/>
              </w:rPr>
              <w:t>Clavien-Dindo</w:t>
            </w:r>
            <w:proofErr w:type="spellEnd"/>
            <w:r w:rsidRPr="005C080D">
              <w:rPr>
                <w:rFonts w:ascii="Calibri" w:eastAsia="Calibri" w:hAnsi="Calibri" w:cs="Times New Roman"/>
              </w:rPr>
              <w:t xml:space="preserve"> grades 1-2 46, 3a 3 and 3b 7 patients respectively. 13 complications were related to bleeding (2.7%) with 5 patients on anticoagulation (plus another 2 on aspirin). </w:t>
            </w:r>
          </w:p>
        </w:tc>
      </w:tr>
      <w:tr w:rsidR="005C080D" w:rsidRPr="005C080D" w14:paraId="1DE15C77" w14:textId="77777777" w:rsidTr="005C080D">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14:paraId="3D84774B" w14:textId="77777777" w:rsidR="005C080D" w:rsidRPr="005C080D" w:rsidRDefault="005C080D" w:rsidP="005C080D">
            <w:pPr>
              <w:spacing w:after="0" w:line="240" w:lineRule="auto"/>
              <w:rPr>
                <w:rFonts w:ascii="Calibri" w:eastAsia="Calibri" w:hAnsi="Calibri" w:cs="Times New Roman"/>
              </w:rPr>
            </w:pPr>
            <w:r w:rsidRPr="005C080D">
              <w:rPr>
                <w:rFonts w:ascii="Calibri" w:eastAsia="Calibri" w:hAnsi="Calibri" w:cs="Times New Roman"/>
                <w:b/>
              </w:rPr>
              <w:t>Conclusion</w:t>
            </w:r>
            <w:r w:rsidRPr="005C080D">
              <w:rPr>
                <w:rFonts w:ascii="Calibri" w:eastAsia="Calibri" w:hAnsi="Calibri" w:cs="Times New Roman"/>
              </w:rPr>
              <w:t>: Although post-operative bleeding complications in this series are low and not increased in patients on anticoagulation, over 1/3 of patients did not have a documented post-operative plan, which is an important part of good clinical practice.</w:t>
            </w:r>
          </w:p>
        </w:tc>
      </w:tr>
    </w:tbl>
    <w:p w14:paraId="5367E619" w14:textId="77777777" w:rsidR="00FD3E6E" w:rsidRPr="00FD3E6E" w:rsidRDefault="00FD3E6E" w:rsidP="005C080D">
      <w:pPr>
        <w:spacing w:after="0" w:line="240" w:lineRule="auto"/>
        <w:rPr>
          <w:b/>
        </w:rPr>
      </w:pPr>
    </w:p>
    <w:p w14:paraId="309C6619" w14:textId="2CD8D54A" w:rsidR="00956BAA" w:rsidRPr="00FD3E6E" w:rsidRDefault="00956BAA" w:rsidP="00FD3E6E">
      <w:pPr>
        <w:tabs>
          <w:tab w:val="center" w:pos="5386"/>
        </w:tabs>
        <w:spacing w:line="240" w:lineRule="auto"/>
        <w:rPr>
          <w:b/>
        </w:rPr>
      </w:pPr>
      <w:r w:rsidRPr="00FD3E6E">
        <w:rPr>
          <w:b/>
        </w:rPr>
        <w:t>Abstract 5</w:t>
      </w:r>
      <w:r w:rsidR="00FD3E6E">
        <w:rPr>
          <w:b/>
        </w:rPr>
        <w:t>.</w:t>
      </w:r>
      <w:r w:rsidR="002D751E" w:rsidRPr="00FD3E6E">
        <w:rPr>
          <w:b/>
        </w:rPr>
        <w:tab/>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5442"/>
      </w:tblGrid>
      <w:tr w:rsidR="00FD3E6E" w:rsidRPr="00FD3E6E" w14:paraId="02772C58" w14:textId="77777777" w:rsidTr="00FD3E6E">
        <w:tc>
          <w:tcPr>
            <w:tcW w:w="5326" w:type="dxa"/>
            <w:tcBorders>
              <w:top w:val="single" w:sz="4" w:space="0" w:color="auto"/>
              <w:left w:val="single" w:sz="4" w:space="0" w:color="auto"/>
              <w:bottom w:val="single" w:sz="4" w:space="0" w:color="auto"/>
              <w:right w:val="single" w:sz="4" w:space="0" w:color="auto"/>
            </w:tcBorders>
          </w:tcPr>
          <w:p w14:paraId="583920C1"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 xml:space="preserve">Name of Presenter:  </w:t>
            </w:r>
            <w:r w:rsidRPr="00FD3E6E">
              <w:rPr>
                <w:rFonts w:ascii="Calibri" w:eastAsia="Calibri" w:hAnsi="Calibri" w:cs="Times New Roman"/>
              </w:rPr>
              <w:t>Rachel Pearse</w:t>
            </w:r>
          </w:p>
        </w:tc>
        <w:tc>
          <w:tcPr>
            <w:tcW w:w="5442" w:type="dxa"/>
            <w:tcBorders>
              <w:top w:val="single" w:sz="4" w:space="0" w:color="auto"/>
              <w:left w:val="single" w:sz="4" w:space="0" w:color="auto"/>
              <w:bottom w:val="single" w:sz="4" w:space="0" w:color="auto"/>
              <w:right w:val="single" w:sz="4" w:space="0" w:color="auto"/>
            </w:tcBorders>
            <w:hideMark/>
          </w:tcPr>
          <w:p w14:paraId="22AA832D"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Training grade/post</w:t>
            </w:r>
            <w:r w:rsidRPr="00FD3E6E">
              <w:rPr>
                <w:rFonts w:ascii="Calibri" w:eastAsia="Calibri" w:hAnsi="Calibri" w:cs="Times New Roman"/>
              </w:rPr>
              <w:t>:  F2</w:t>
            </w:r>
          </w:p>
        </w:tc>
      </w:tr>
      <w:tr w:rsidR="00FD3E6E" w:rsidRPr="00FD3E6E" w14:paraId="099B51B9"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30ECDB06"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Institution</w:t>
            </w:r>
            <w:r w:rsidRPr="00FD3E6E">
              <w:rPr>
                <w:rFonts w:ascii="Calibri" w:eastAsia="Calibri" w:hAnsi="Calibri" w:cs="Times New Roman"/>
              </w:rPr>
              <w:t>:  Freeman Hospital</w:t>
            </w:r>
          </w:p>
        </w:tc>
      </w:tr>
      <w:tr w:rsidR="00FD3E6E" w:rsidRPr="00FD3E6E" w14:paraId="1D30A52A"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269AD6D6"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Title of Presentation</w:t>
            </w:r>
            <w:r w:rsidRPr="00FD3E6E">
              <w:rPr>
                <w:rFonts w:ascii="Calibri" w:eastAsia="Calibri" w:hAnsi="Calibri" w:cs="Times New Roman"/>
              </w:rPr>
              <w:t>:  An audit of a new prostate cancer diagnostic clinic and pathway</w:t>
            </w:r>
          </w:p>
        </w:tc>
      </w:tr>
      <w:tr w:rsidR="00FD3E6E" w:rsidRPr="00FD3E6E" w14:paraId="332D4C50"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6E3CF26E"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Authors</w:t>
            </w:r>
            <w:r w:rsidRPr="00FD3E6E">
              <w:rPr>
                <w:rFonts w:ascii="Calibri" w:eastAsia="Calibri" w:hAnsi="Calibri" w:cs="Times New Roman"/>
              </w:rPr>
              <w:t xml:space="preserve">:  Pearse R, </w:t>
            </w:r>
            <w:proofErr w:type="spellStart"/>
            <w:r w:rsidRPr="00FD3E6E">
              <w:rPr>
                <w:rFonts w:ascii="Calibri" w:eastAsia="Calibri" w:hAnsi="Calibri" w:cs="Times New Roman"/>
              </w:rPr>
              <w:t>Sandher</w:t>
            </w:r>
            <w:proofErr w:type="spellEnd"/>
            <w:r w:rsidRPr="00FD3E6E">
              <w:rPr>
                <w:rFonts w:ascii="Calibri" w:eastAsia="Calibri" w:hAnsi="Calibri" w:cs="Times New Roman"/>
              </w:rPr>
              <w:t xml:space="preserve"> R, Ferguson J, Cockburn C, Askew S, </w:t>
            </w:r>
            <w:proofErr w:type="spellStart"/>
            <w:r w:rsidRPr="00FD3E6E">
              <w:rPr>
                <w:rFonts w:ascii="Calibri" w:eastAsia="Calibri" w:hAnsi="Calibri" w:cs="Times New Roman"/>
              </w:rPr>
              <w:t>Trewick</w:t>
            </w:r>
            <w:proofErr w:type="spellEnd"/>
            <w:r w:rsidRPr="00FD3E6E">
              <w:rPr>
                <w:rFonts w:ascii="Calibri" w:eastAsia="Calibri" w:hAnsi="Calibri" w:cs="Times New Roman"/>
              </w:rPr>
              <w:t xml:space="preserve"> N, Needham J, </w:t>
            </w:r>
            <w:proofErr w:type="spellStart"/>
            <w:r w:rsidRPr="00FD3E6E">
              <w:rPr>
                <w:rFonts w:ascii="Calibri" w:eastAsia="Calibri" w:hAnsi="Calibri" w:cs="Times New Roman"/>
              </w:rPr>
              <w:t>Dosani</w:t>
            </w:r>
            <w:proofErr w:type="spellEnd"/>
            <w:r w:rsidRPr="00FD3E6E">
              <w:rPr>
                <w:rFonts w:ascii="Calibri" w:eastAsia="Calibri" w:hAnsi="Calibri" w:cs="Times New Roman"/>
              </w:rPr>
              <w:t xml:space="preserve"> T, Page T Gujadhur R, </w:t>
            </w:r>
            <w:proofErr w:type="spellStart"/>
            <w:r w:rsidRPr="00FD3E6E">
              <w:rPr>
                <w:rFonts w:ascii="Calibri" w:eastAsia="Calibri" w:hAnsi="Calibri" w:cs="Times New Roman"/>
              </w:rPr>
              <w:t>Paez</w:t>
            </w:r>
            <w:proofErr w:type="spellEnd"/>
            <w:r w:rsidRPr="00FD3E6E">
              <w:rPr>
                <w:rFonts w:ascii="Calibri" w:eastAsia="Calibri" w:hAnsi="Calibri" w:cs="Times New Roman"/>
              </w:rPr>
              <w:t xml:space="preserve"> E, Rai BP, Veeratterapillay R</w:t>
            </w:r>
          </w:p>
        </w:tc>
      </w:tr>
      <w:tr w:rsidR="00FD3E6E" w:rsidRPr="00FD3E6E" w14:paraId="6533C865"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6BD577B2"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Aims</w:t>
            </w:r>
            <w:r w:rsidRPr="00FD3E6E">
              <w:rPr>
                <w:rFonts w:ascii="Calibri" w:eastAsia="Calibri" w:hAnsi="Calibri" w:cs="Times New Roman"/>
              </w:rPr>
              <w:t>:</w:t>
            </w:r>
          </w:p>
          <w:p w14:paraId="775DD14F"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To audit the outcomes of a new prostate diagnostic clinic incorporating pre-biopsy MRI and transperineal  biopsies</w:t>
            </w:r>
          </w:p>
        </w:tc>
      </w:tr>
      <w:tr w:rsidR="00FD3E6E" w:rsidRPr="00FD3E6E" w14:paraId="40CABD2B"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0E9BBEE9"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Methods</w:t>
            </w:r>
            <w:r w:rsidRPr="00FD3E6E">
              <w:rPr>
                <w:rFonts w:ascii="Calibri" w:eastAsia="Calibri" w:hAnsi="Calibri" w:cs="Times New Roman"/>
              </w:rPr>
              <w:t>:</w:t>
            </w:r>
          </w:p>
          <w:p w14:paraId="07F7998F"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 xml:space="preserve">A dedicated prostate cancer clinic was set up in August 2018 incorporating pre-biopsy MRI in an effort to streamline investigations and reduce pathway time to prostate cancer diagnosis. The clinic aims to deliver a time to diagnosis of 23 days from GP referral. The clinic evolved over time to include LA transperineal biopsies. Prospective data was collected (Aug 2018-June2019) including time to investigations, time to diagnosis and discharge outcomes. Patient satisfaction surveys were prospectively collected. </w:t>
            </w:r>
          </w:p>
        </w:tc>
      </w:tr>
      <w:tr w:rsidR="00FD3E6E" w:rsidRPr="00FD3E6E" w14:paraId="195325FB" w14:textId="77777777" w:rsidTr="00FD3E6E">
        <w:trPr>
          <w:trHeight w:val="1329"/>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3CC7F9A1"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Results</w:t>
            </w:r>
            <w:r w:rsidRPr="00FD3E6E">
              <w:rPr>
                <w:rFonts w:ascii="Calibri" w:eastAsia="Calibri" w:hAnsi="Calibri" w:cs="Times New Roman"/>
              </w:rPr>
              <w:t>:</w:t>
            </w:r>
          </w:p>
          <w:p w14:paraId="5EC07B9D"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528 patients were included. Median age was 68yrs and median PSA 7.46. Prebiopsy MRI were required in 333 patients and 205 biopsies were undertaken (75% via transrectal route). Biopsies have been exclusively TP since July2019. The overall cancer diagnosis was 33% with 75% of patients off the 2ww pathway at the end of the study period. Median time form GP referral to being seen in results clinic was 29 days. In terms of patient feedback 98.2% of patients rated their experience good or excellent.</w:t>
            </w:r>
          </w:p>
        </w:tc>
      </w:tr>
      <w:tr w:rsidR="00FD3E6E" w:rsidRPr="00FD3E6E" w14:paraId="1BC3F6CB"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25E4CFE6"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Conclusion</w:t>
            </w:r>
            <w:r w:rsidRPr="00FD3E6E">
              <w:rPr>
                <w:rFonts w:ascii="Calibri" w:eastAsia="Calibri" w:hAnsi="Calibri" w:cs="Times New Roman"/>
              </w:rPr>
              <w:t>:</w:t>
            </w:r>
          </w:p>
          <w:p w14:paraId="5608697E" w14:textId="77777777" w:rsidR="00FD3E6E" w:rsidRPr="00FD3E6E" w:rsidRDefault="00FD3E6E" w:rsidP="00FD3E6E">
            <w:pPr>
              <w:spacing w:after="0"/>
              <w:rPr>
                <w:rFonts w:ascii="Calibri" w:eastAsia="Calibri" w:hAnsi="Calibri" w:cs="Times New Roman"/>
              </w:rPr>
            </w:pPr>
            <w:r w:rsidRPr="00FD3E6E">
              <w:rPr>
                <w:rFonts w:ascii="Calibri" w:eastAsia="Calibri" w:hAnsi="Calibri" w:cs="Times New Roman"/>
              </w:rPr>
              <w:t>The new prostate clinic has reduced the diagnostic time on the prostate pathway with excellent patient feedback.</w:t>
            </w:r>
          </w:p>
        </w:tc>
      </w:tr>
    </w:tbl>
    <w:p w14:paraId="1118CDE5" w14:textId="4B5B44D1" w:rsidR="00956BAA" w:rsidRDefault="00956BAA" w:rsidP="00FD3E6E">
      <w:pPr>
        <w:spacing w:after="0" w:line="240" w:lineRule="auto"/>
      </w:pPr>
    </w:p>
    <w:p w14:paraId="076BE8AF" w14:textId="77777777" w:rsidR="00273473" w:rsidRDefault="00273473" w:rsidP="00FD3E6E">
      <w:pPr>
        <w:spacing w:after="0" w:line="240" w:lineRule="auto"/>
      </w:pPr>
    </w:p>
    <w:p w14:paraId="0E3CCB64" w14:textId="77777777" w:rsidR="00FD3E6E" w:rsidRPr="00FD3E6E" w:rsidRDefault="00FD3E6E" w:rsidP="00FD3E6E">
      <w:pPr>
        <w:spacing w:after="0" w:line="240" w:lineRule="auto"/>
      </w:pPr>
    </w:p>
    <w:p w14:paraId="1E79DDFC" w14:textId="0F6B9251" w:rsidR="00FD3E6E" w:rsidRPr="00FD3E6E" w:rsidRDefault="00FD3E6E" w:rsidP="00FD3E6E">
      <w:pPr>
        <w:spacing w:after="0" w:line="240" w:lineRule="auto"/>
        <w:rPr>
          <w:b/>
        </w:rPr>
      </w:pPr>
      <w:r w:rsidRPr="00FD3E6E">
        <w:rPr>
          <w:b/>
        </w:rPr>
        <w:lastRenderedPageBreak/>
        <w:t xml:space="preserve">Abstract </w:t>
      </w:r>
      <w:r w:rsidRPr="00FD3E6E">
        <w:rPr>
          <w:b/>
        </w:rPr>
        <w:t>6</w:t>
      </w:r>
      <w:r>
        <w:rPr>
          <w:b/>
        </w:rPr>
        <w:t>.</w:t>
      </w:r>
    </w:p>
    <w:p w14:paraId="07E3A274" w14:textId="77777777" w:rsidR="00FD3E6E" w:rsidRPr="00FD3E6E" w:rsidRDefault="00FD3E6E" w:rsidP="00FD3E6E">
      <w:pPr>
        <w:spacing w:after="0" w:line="240" w:lineRule="auto"/>
        <w:rPr>
          <w:b/>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5441"/>
      </w:tblGrid>
      <w:tr w:rsidR="00FD3E6E" w:rsidRPr="00FD3E6E" w14:paraId="294B0399" w14:textId="77777777" w:rsidTr="00FD3E6E">
        <w:tc>
          <w:tcPr>
            <w:tcW w:w="5327" w:type="dxa"/>
            <w:tcBorders>
              <w:top w:val="single" w:sz="4" w:space="0" w:color="auto"/>
              <w:left w:val="single" w:sz="4" w:space="0" w:color="auto"/>
              <w:bottom w:val="single" w:sz="4" w:space="0" w:color="auto"/>
              <w:right w:val="single" w:sz="4" w:space="0" w:color="auto"/>
            </w:tcBorders>
          </w:tcPr>
          <w:p w14:paraId="66F3D9CA"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Name of Presenter</w:t>
            </w:r>
            <w:r w:rsidRPr="00FD3E6E">
              <w:rPr>
                <w:rFonts w:ascii="Calibri" w:eastAsia="Calibri" w:hAnsi="Calibri" w:cs="Times New Roman"/>
              </w:rPr>
              <w:t>: Mr Ankur Mukherjee</w:t>
            </w:r>
          </w:p>
        </w:tc>
        <w:tc>
          <w:tcPr>
            <w:tcW w:w="5441" w:type="dxa"/>
            <w:tcBorders>
              <w:top w:val="single" w:sz="4" w:space="0" w:color="auto"/>
              <w:left w:val="single" w:sz="4" w:space="0" w:color="auto"/>
              <w:bottom w:val="single" w:sz="4" w:space="0" w:color="auto"/>
              <w:right w:val="single" w:sz="4" w:space="0" w:color="auto"/>
            </w:tcBorders>
            <w:hideMark/>
          </w:tcPr>
          <w:p w14:paraId="33F71770"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Training grade/post</w:t>
            </w:r>
            <w:r w:rsidRPr="00FD3E6E">
              <w:rPr>
                <w:rFonts w:ascii="Calibri" w:eastAsia="Calibri" w:hAnsi="Calibri" w:cs="Times New Roman"/>
              </w:rPr>
              <w:t>: ST3</w:t>
            </w:r>
          </w:p>
        </w:tc>
      </w:tr>
      <w:tr w:rsidR="00FD3E6E" w:rsidRPr="00FD3E6E" w14:paraId="4DE2C803"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3DD5CB3D"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Institution</w:t>
            </w:r>
            <w:r w:rsidRPr="00FD3E6E">
              <w:rPr>
                <w:rFonts w:ascii="Calibri" w:eastAsia="Calibri" w:hAnsi="Calibri" w:cs="Times New Roman"/>
              </w:rPr>
              <w:t>:  Freeman Hospital</w:t>
            </w:r>
          </w:p>
        </w:tc>
      </w:tr>
      <w:tr w:rsidR="00FD3E6E" w:rsidRPr="00FD3E6E" w14:paraId="2B14FA69" w14:textId="77777777" w:rsidTr="00FD3E6E">
        <w:trPr>
          <w:trHeight w:val="917"/>
        </w:trPr>
        <w:tc>
          <w:tcPr>
            <w:tcW w:w="10768" w:type="dxa"/>
            <w:gridSpan w:val="2"/>
            <w:tcBorders>
              <w:top w:val="single" w:sz="4" w:space="0" w:color="auto"/>
              <w:left w:val="single" w:sz="4" w:space="0" w:color="auto"/>
              <w:bottom w:val="single" w:sz="4" w:space="0" w:color="auto"/>
              <w:right w:val="single" w:sz="4" w:space="0" w:color="auto"/>
            </w:tcBorders>
          </w:tcPr>
          <w:p w14:paraId="102007AA"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Title of Presentation</w:t>
            </w:r>
            <w:r w:rsidRPr="00FD3E6E">
              <w:rPr>
                <w:rFonts w:ascii="Calibri" w:eastAsia="Calibri" w:hAnsi="Calibri" w:cs="Times New Roman"/>
              </w:rPr>
              <w:t>:</w:t>
            </w:r>
          </w:p>
          <w:p w14:paraId="37D2BFCD" w14:textId="77777777" w:rsidR="00FD3E6E" w:rsidRPr="00FD3E6E" w:rsidRDefault="00FD3E6E" w:rsidP="00FD3E6E">
            <w:pPr>
              <w:spacing w:after="0" w:line="240" w:lineRule="auto"/>
              <w:rPr>
                <w:rFonts w:ascii="Calibri" w:eastAsia="Calibri" w:hAnsi="Calibri" w:cs="Times New Roman"/>
                <w:bCs/>
              </w:rPr>
            </w:pPr>
            <w:r w:rsidRPr="00FD3E6E">
              <w:rPr>
                <w:rFonts w:ascii="Calibri" w:eastAsia="Calibri" w:hAnsi="Calibri" w:cs="Times New Roman"/>
                <w:bCs/>
                <w:lang w:val="en"/>
              </w:rPr>
              <w:t>Preoperative Membranous Urethral Length Measurement and Impact of Lower Urinary Tract Symptoms on Quality of Life Following Radical Prostatectomy: A Pilot Study Review</w:t>
            </w:r>
          </w:p>
        </w:tc>
      </w:tr>
      <w:tr w:rsidR="00FD3E6E" w:rsidRPr="00FD3E6E" w14:paraId="03C95941"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5ED746F0"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Authors</w:t>
            </w:r>
            <w:r w:rsidRPr="00FD3E6E">
              <w:rPr>
                <w:rFonts w:ascii="Calibri" w:eastAsia="Calibri" w:hAnsi="Calibri" w:cs="Times New Roman"/>
              </w:rPr>
              <w:t xml:space="preserve">: Mukherjee A, Geraghty R, </w:t>
            </w:r>
            <w:proofErr w:type="spellStart"/>
            <w:r w:rsidRPr="00FD3E6E">
              <w:rPr>
                <w:rFonts w:ascii="Calibri" w:eastAsia="Calibri" w:hAnsi="Calibri" w:cs="Times New Roman"/>
              </w:rPr>
              <w:t>Veeraterapillay</w:t>
            </w:r>
            <w:proofErr w:type="spellEnd"/>
            <w:r w:rsidRPr="00FD3E6E">
              <w:rPr>
                <w:rFonts w:ascii="Calibri" w:eastAsia="Calibri" w:hAnsi="Calibri" w:cs="Times New Roman"/>
              </w:rPr>
              <w:t xml:space="preserve"> R, Harding C, Johnson MI, </w:t>
            </w:r>
            <w:proofErr w:type="spellStart"/>
            <w:r w:rsidRPr="00FD3E6E">
              <w:rPr>
                <w:rFonts w:ascii="Calibri" w:eastAsia="Calibri" w:hAnsi="Calibri" w:cs="Times New Roman"/>
              </w:rPr>
              <w:t>Heer</w:t>
            </w:r>
            <w:proofErr w:type="spellEnd"/>
            <w:r w:rsidRPr="00FD3E6E">
              <w:rPr>
                <w:rFonts w:ascii="Calibri" w:eastAsia="Calibri" w:hAnsi="Calibri" w:cs="Times New Roman"/>
              </w:rPr>
              <w:t xml:space="preserve"> R, Soomro NA, Rai B </w:t>
            </w:r>
          </w:p>
        </w:tc>
      </w:tr>
      <w:tr w:rsidR="00FD3E6E" w:rsidRPr="00FD3E6E" w14:paraId="4C430790"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5E71D3F3"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Aims</w:t>
            </w:r>
            <w:r w:rsidRPr="00FD3E6E">
              <w:rPr>
                <w:rFonts w:ascii="Calibri" w:eastAsia="Calibri" w:hAnsi="Calibri" w:cs="Times New Roman"/>
              </w:rPr>
              <w:t>:</w:t>
            </w:r>
          </w:p>
          <w:p w14:paraId="4FDCFA1A" w14:textId="77777777" w:rsidR="00FD3E6E" w:rsidRPr="00FD3E6E" w:rsidRDefault="00FD3E6E" w:rsidP="00FD3E6E">
            <w:pPr>
              <w:spacing w:after="0" w:line="240" w:lineRule="auto"/>
              <w:rPr>
                <w:rFonts w:ascii="Calibri" w:eastAsia="Calibri" w:hAnsi="Calibri" w:cs="Times New Roman"/>
                <w:b/>
                <w:bCs/>
                <w:lang w:val="en"/>
              </w:rPr>
            </w:pPr>
            <w:r w:rsidRPr="00FD3E6E">
              <w:rPr>
                <w:rFonts w:ascii="Calibri" w:eastAsia="Calibri" w:hAnsi="Calibri" w:cs="Times New Roman"/>
                <w:lang w:val="en"/>
              </w:rPr>
              <w:t xml:space="preserve">Membranous urethral length (MUL) measurement has been identified as a key factor that is associated with the recovery of continence following </w:t>
            </w:r>
            <w:r w:rsidRPr="00FD3E6E">
              <w:rPr>
                <w:rFonts w:ascii="Calibri" w:eastAsia="Calibri" w:hAnsi="Calibri" w:cs="Times New Roman"/>
                <w:bCs/>
                <w:lang w:val="en"/>
              </w:rPr>
              <w:t>robot-assisted laparoscopic prostatectomy (RALP)</w:t>
            </w:r>
            <w:r w:rsidRPr="00FD3E6E">
              <w:rPr>
                <w:rFonts w:ascii="Calibri" w:eastAsia="Calibri" w:hAnsi="Calibri" w:cs="Times New Roman"/>
                <w:lang w:val="en"/>
              </w:rPr>
              <w:t>.</w:t>
            </w:r>
          </w:p>
          <w:p w14:paraId="6B7395B4" w14:textId="77777777" w:rsidR="00FD3E6E" w:rsidRPr="00FD3E6E" w:rsidRDefault="00FD3E6E" w:rsidP="00FD3E6E">
            <w:pPr>
              <w:spacing w:after="0" w:line="240" w:lineRule="auto"/>
              <w:rPr>
                <w:rFonts w:ascii="Calibri" w:eastAsia="Calibri" w:hAnsi="Calibri" w:cs="Times New Roman"/>
                <w:bCs/>
                <w:lang w:val="en"/>
              </w:rPr>
            </w:pPr>
            <w:r w:rsidRPr="00FD3E6E">
              <w:rPr>
                <w:rFonts w:ascii="Calibri" w:eastAsia="Calibri" w:hAnsi="Calibri" w:cs="Times New Roman"/>
                <w:bCs/>
                <w:lang w:val="en"/>
              </w:rPr>
              <w:t>We investigated the preoperative MUL using multiparametric (</w:t>
            </w:r>
            <w:proofErr w:type="spellStart"/>
            <w:r w:rsidRPr="00FD3E6E">
              <w:rPr>
                <w:rFonts w:ascii="Calibri" w:eastAsia="Calibri" w:hAnsi="Calibri" w:cs="Times New Roman"/>
                <w:bCs/>
                <w:lang w:val="en"/>
              </w:rPr>
              <w:t>mpMRI</w:t>
            </w:r>
            <w:proofErr w:type="spellEnd"/>
            <w:r w:rsidRPr="00FD3E6E">
              <w:rPr>
                <w:rFonts w:ascii="Calibri" w:eastAsia="Calibri" w:hAnsi="Calibri" w:cs="Times New Roman"/>
                <w:bCs/>
                <w:lang w:val="en"/>
              </w:rPr>
              <w:t>) and its association with the recovery of urinary continence after RALP.</w:t>
            </w:r>
          </w:p>
        </w:tc>
      </w:tr>
      <w:tr w:rsidR="00FD3E6E" w:rsidRPr="00FD3E6E" w14:paraId="741A56F4"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4285EBD1"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Methods</w:t>
            </w:r>
            <w:r w:rsidRPr="00FD3E6E">
              <w:rPr>
                <w:rFonts w:ascii="Calibri" w:eastAsia="Calibri" w:hAnsi="Calibri" w:cs="Times New Roman"/>
              </w:rPr>
              <w:t>:</w:t>
            </w:r>
          </w:p>
          <w:p w14:paraId="26B475DD" w14:textId="77777777" w:rsidR="00FD3E6E" w:rsidRPr="00FD3E6E" w:rsidRDefault="00FD3E6E" w:rsidP="00FD3E6E">
            <w:pPr>
              <w:spacing w:after="0" w:line="240" w:lineRule="auto"/>
              <w:rPr>
                <w:rFonts w:ascii="Calibri" w:eastAsia="Calibri" w:hAnsi="Calibri" w:cs="Times New Roman"/>
                <w:bCs/>
              </w:rPr>
            </w:pPr>
            <w:r w:rsidRPr="00FD3E6E">
              <w:rPr>
                <w:rFonts w:ascii="Calibri" w:eastAsia="Calibri" w:hAnsi="Calibri" w:cs="Times New Roman"/>
                <w:bCs/>
                <w:lang w:val="en"/>
              </w:rPr>
              <w:t xml:space="preserve">In this pilot study, we examined 25 patients who underwent RALP at our Institution. All patients underwent </w:t>
            </w:r>
            <w:proofErr w:type="spellStart"/>
            <w:r w:rsidRPr="00FD3E6E">
              <w:rPr>
                <w:rFonts w:ascii="Calibri" w:eastAsia="Calibri" w:hAnsi="Calibri" w:cs="Times New Roman"/>
                <w:bCs/>
                <w:lang w:val="en"/>
              </w:rPr>
              <w:t>mpMRI</w:t>
            </w:r>
            <w:proofErr w:type="spellEnd"/>
            <w:r w:rsidRPr="00FD3E6E">
              <w:rPr>
                <w:rFonts w:ascii="Calibri" w:eastAsia="Calibri" w:hAnsi="Calibri" w:cs="Times New Roman"/>
                <w:bCs/>
                <w:lang w:val="en"/>
              </w:rPr>
              <w:t xml:space="preserve"> preoperatively to measure MUL in the coronal and sagittal planes. M</w:t>
            </w:r>
            <w:r w:rsidRPr="00FD3E6E">
              <w:rPr>
                <w:rFonts w:ascii="Calibri" w:eastAsia="Calibri" w:hAnsi="Calibri" w:cs="Times New Roman"/>
                <w:bCs/>
              </w:rPr>
              <w:t>ale lower urinary tract symptoms and impact on quality of life</w:t>
            </w:r>
            <w:r w:rsidRPr="00FD3E6E">
              <w:rPr>
                <w:rFonts w:ascii="Calibri" w:eastAsia="Calibri" w:hAnsi="Calibri" w:cs="Times New Roman"/>
                <w:bCs/>
                <w:lang w:val="en"/>
              </w:rPr>
              <w:t xml:space="preserve"> was evaluated using the </w:t>
            </w:r>
            <w:r w:rsidRPr="00FD3E6E">
              <w:rPr>
                <w:rFonts w:ascii="Calibri" w:eastAsia="Calibri" w:hAnsi="Calibri" w:cs="Times New Roman"/>
                <w:bCs/>
              </w:rPr>
              <w:t>International Consultation on Incontinence Questionnaire Male Lower Urinary Tract Symptoms Module (ICIQ-MLUTS Long Form) questionnaire at baseline, 6, 12 and 18 months after operation.</w:t>
            </w:r>
          </w:p>
        </w:tc>
      </w:tr>
      <w:tr w:rsidR="00FD3E6E" w:rsidRPr="00FD3E6E" w14:paraId="3EC97C81"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3186CD45"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Results</w:t>
            </w:r>
            <w:r w:rsidRPr="00FD3E6E">
              <w:rPr>
                <w:rFonts w:ascii="Calibri" w:eastAsia="Calibri" w:hAnsi="Calibri" w:cs="Times New Roman"/>
              </w:rPr>
              <w:t>:</w:t>
            </w:r>
          </w:p>
          <w:p w14:paraId="1B7DA902" w14:textId="77777777" w:rsidR="00FD3E6E" w:rsidRPr="00FD3E6E" w:rsidRDefault="00FD3E6E" w:rsidP="00FD3E6E">
            <w:pPr>
              <w:spacing w:after="0" w:line="240" w:lineRule="auto"/>
              <w:rPr>
                <w:rFonts w:ascii="Calibri" w:eastAsia="Calibri" w:hAnsi="Calibri" w:cs="Times New Roman"/>
                <w:bCs/>
                <w:lang w:val="en"/>
              </w:rPr>
            </w:pPr>
            <w:r w:rsidRPr="00FD3E6E">
              <w:rPr>
                <w:rFonts w:ascii="Calibri" w:eastAsia="Calibri" w:hAnsi="Calibri" w:cs="Times New Roman"/>
                <w:bCs/>
                <w:lang w:val="en"/>
              </w:rPr>
              <w:t>The mean age was 65.8yrs (median 67yrs). The mean MUL was 16.5mm. The average discrepancy between the coronal and sagittal MUL measurements was 0.12mm. As the MUL increased, the ICIQ-MLUTS score decreased with a statistically significant difference (p&lt;0.05) using t-test. Overall, the mean ICIQ-MLUTS scores decreased 12.41 points from 6 months to 18 months and 8.5 points from baseline to 18 months.</w:t>
            </w:r>
          </w:p>
        </w:tc>
      </w:tr>
      <w:tr w:rsidR="00FD3E6E" w:rsidRPr="00FD3E6E" w14:paraId="42BE44AD"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52BA4557"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Conclusion</w:t>
            </w:r>
            <w:r w:rsidRPr="00FD3E6E">
              <w:rPr>
                <w:rFonts w:ascii="Calibri" w:eastAsia="Calibri" w:hAnsi="Calibri" w:cs="Times New Roman"/>
              </w:rPr>
              <w:t>:</w:t>
            </w:r>
          </w:p>
          <w:p w14:paraId="4F030AB3" w14:textId="77777777" w:rsidR="00FD3E6E" w:rsidRPr="00FD3E6E" w:rsidRDefault="00FD3E6E" w:rsidP="00FD3E6E">
            <w:pPr>
              <w:spacing w:after="0" w:line="240" w:lineRule="auto"/>
              <w:rPr>
                <w:rFonts w:ascii="Calibri" w:eastAsia="Calibri" w:hAnsi="Calibri" w:cs="Times New Roman"/>
                <w:lang w:val="en"/>
              </w:rPr>
            </w:pPr>
            <w:r w:rsidRPr="00FD3E6E">
              <w:rPr>
                <w:rFonts w:ascii="Calibri" w:eastAsia="Calibri" w:hAnsi="Calibri" w:cs="Times New Roman"/>
                <w:lang w:val="en"/>
              </w:rPr>
              <w:t>A greater preoperative MUL is significantly and positively associated with a return to continence in men following RALP. MRI measurement of MUL is recommended prior to RALP.</w:t>
            </w:r>
          </w:p>
        </w:tc>
      </w:tr>
    </w:tbl>
    <w:p w14:paraId="17DF6334" w14:textId="77777777" w:rsidR="00FD3E6E" w:rsidRDefault="00FD3E6E" w:rsidP="00FD3E6E">
      <w:pPr>
        <w:spacing w:after="0" w:line="240" w:lineRule="auto"/>
        <w:rPr>
          <w:b/>
        </w:rPr>
      </w:pPr>
    </w:p>
    <w:p w14:paraId="200845D0" w14:textId="0EC4D1F1" w:rsidR="00FD3E6E" w:rsidRDefault="00FD3E6E" w:rsidP="00FD3E6E">
      <w:pPr>
        <w:spacing w:after="0" w:line="240" w:lineRule="auto"/>
        <w:rPr>
          <w:b/>
        </w:rPr>
      </w:pPr>
      <w:r w:rsidRPr="00FD3E6E">
        <w:rPr>
          <w:b/>
        </w:rPr>
        <w:t xml:space="preserve">Abstract </w:t>
      </w:r>
      <w:r w:rsidRPr="00FD3E6E">
        <w:rPr>
          <w:b/>
        </w:rPr>
        <w:t>7</w:t>
      </w:r>
      <w:r>
        <w:rPr>
          <w:b/>
        </w:rPr>
        <w:t>.</w:t>
      </w:r>
    </w:p>
    <w:p w14:paraId="2FB6B5DC" w14:textId="77777777" w:rsidR="00FD3E6E" w:rsidRPr="00FD3E6E" w:rsidRDefault="00FD3E6E" w:rsidP="00FD3E6E">
      <w:pPr>
        <w:spacing w:after="0" w:line="240" w:lineRule="auto"/>
        <w:rPr>
          <w:b/>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5457"/>
      </w:tblGrid>
      <w:tr w:rsidR="00FD3E6E" w:rsidRPr="00FD3E6E" w14:paraId="39ECCEFD" w14:textId="77777777" w:rsidTr="00FD3E6E">
        <w:tc>
          <w:tcPr>
            <w:tcW w:w="5311" w:type="dxa"/>
            <w:tcBorders>
              <w:top w:val="single" w:sz="4" w:space="0" w:color="auto"/>
              <w:left w:val="single" w:sz="4" w:space="0" w:color="auto"/>
              <w:bottom w:val="single" w:sz="4" w:space="0" w:color="auto"/>
              <w:right w:val="single" w:sz="4" w:space="0" w:color="auto"/>
            </w:tcBorders>
          </w:tcPr>
          <w:p w14:paraId="7B4EBAE6"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Name of Presenter</w:t>
            </w:r>
            <w:r w:rsidRPr="00FD3E6E">
              <w:rPr>
                <w:rFonts w:ascii="Calibri" w:eastAsia="Calibri" w:hAnsi="Calibri" w:cs="Times New Roman"/>
              </w:rPr>
              <w:t>: Ming He</w:t>
            </w:r>
          </w:p>
        </w:tc>
        <w:tc>
          <w:tcPr>
            <w:tcW w:w="5457" w:type="dxa"/>
            <w:tcBorders>
              <w:top w:val="single" w:sz="4" w:space="0" w:color="auto"/>
              <w:left w:val="single" w:sz="4" w:space="0" w:color="auto"/>
              <w:bottom w:val="single" w:sz="4" w:space="0" w:color="auto"/>
              <w:right w:val="single" w:sz="4" w:space="0" w:color="auto"/>
            </w:tcBorders>
            <w:hideMark/>
          </w:tcPr>
          <w:p w14:paraId="1664F3E1"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Training grade/post</w:t>
            </w:r>
            <w:r w:rsidRPr="00FD3E6E">
              <w:rPr>
                <w:rFonts w:ascii="Calibri" w:eastAsia="Calibri" w:hAnsi="Calibri" w:cs="Times New Roman"/>
              </w:rPr>
              <w:t>:ST5</w:t>
            </w:r>
          </w:p>
        </w:tc>
      </w:tr>
      <w:tr w:rsidR="00FD3E6E" w:rsidRPr="00FD3E6E" w14:paraId="03E6EB13"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4CCD87FE" w14:textId="601A514F"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Institution</w:t>
            </w:r>
            <w:r w:rsidRPr="00FD3E6E">
              <w:rPr>
                <w:rFonts w:ascii="Calibri" w:eastAsia="Calibri" w:hAnsi="Calibri" w:cs="Times New Roman"/>
              </w:rPr>
              <w:t>: Department of Paediatric Urology, Royal Victoria Infirmary</w:t>
            </w:r>
          </w:p>
        </w:tc>
      </w:tr>
      <w:tr w:rsidR="00FD3E6E" w:rsidRPr="00FD3E6E" w14:paraId="21E8FC4C"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4CD4FC89"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Title of Presentation</w:t>
            </w:r>
            <w:r w:rsidRPr="00FD3E6E">
              <w:rPr>
                <w:rFonts w:ascii="Calibri" w:eastAsia="Calibri" w:hAnsi="Calibri" w:cs="Times New Roman"/>
              </w:rPr>
              <w:t>:  Audit of outcomes of foreskin reconstruction</w:t>
            </w:r>
          </w:p>
        </w:tc>
      </w:tr>
      <w:tr w:rsidR="00FD3E6E" w:rsidRPr="00FD3E6E" w14:paraId="2E705AEE" w14:textId="77777777" w:rsidTr="00FD3E6E">
        <w:tc>
          <w:tcPr>
            <w:tcW w:w="10768" w:type="dxa"/>
            <w:gridSpan w:val="2"/>
            <w:tcBorders>
              <w:top w:val="single" w:sz="4" w:space="0" w:color="auto"/>
              <w:left w:val="single" w:sz="4" w:space="0" w:color="auto"/>
              <w:bottom w:val="single" w:sz="4" w:space="0" w:color="auto"/>
              <w:right w:val="single" w:sz="4" w:space="0" w:color="auto"/>
            </w:tcBorders>
          </w:tcPr>
          <w:p w14:paraId="0223B200"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Authors</w:t>
            </w:r>
            <w:r w:rsidRPr="00FD3E6E">
              <w:rPr>
                <w:rFonts w:ascii="Calibri" w:eastAsia="Calibri" w:hAnsi="Calibri" w:cs="Times New Roman"/>
              </w:rPr>
              <w:t xml:space="preserve">:  M He, P Burnell, A </w:t>
            </w:r>
            <w:proofErr w:type="spellStart"/>
            <w:r w:rsidRPr="00FD3E6E">
              <w:rPr>
                <w:rFonts w:ascii="Calibri" w:eastAsia="Calibri" w:hAnsi="Calibri" w:cs="Times New Roman"/>
              </w:rPr>
              <w:t>Lall</w:t>
            </w:r>
            <w:proofErr w:type="spellEnd"/>
            <w:r w:rsidRPr="00FD3E6E">
              <w:rPr>
                <w:rFonts w:ascii="Calibri" w:eastAsia="Calibri" w:hAnsi="Calibri" w:cs="Times New Roman"/>
              </w:rPr>
              <w:t xml:space="preserve">, M Gopal, A Godse </w:t>
            </w:r>
          </w:p>
        </w:tc>
      </w:tr>
      <w:tr w:rsidR="00FD3E6E" w:rsidRPr="00FD3E6E" w14:paraId="5E443062"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275D2765"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Aims</w:t>
            </w:r>
            <w:r w:rsidRPr="00FD3E6E">
              <w:rPr>
                <w:rFonts w:ascii="Calibri" w:eastAsia="Calibri" w:hAnsi="Calibri" w:cs="Times New Roman"/>
              </w:rPr>
              <w:t>:</w:t>
            </w:r>
          </w:p>
          <w:p w14:paraId="3BBD0A62"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 xml:space="preserve">Hypospadias is one of the leading birth defects in boys. Foreskin reconstruction with </w:t>
            </w:r>
            <w:proofErr w:type="spellStart"/>
            <w:r w:rsidRPr="00FD3E6E">
              <w:rPr>
                <w:rFonts w:ascii="Calibri" w:eastAsia="Calibri" w:hAnsi="Calibri" w:cs="Times New Roman"/>
              </w:rPr>
              <w:t>tubularisation</w:t>
            </w:r>
            <w:proofErr w:type="spellEnd"/>
            <w:r w:rsidRPr="00FD3E6E">
              <w:rPr>
                <w:rFonts w:ascii="Calibri" w:eastAsia="Calibri" w:hAnsi="Calibri" w:cs="Times New Roman"/>
              </w:rPr>
              <w:t xml:space="preserve"> of the urethral plate offers the best combined cosmetic/functional outcome. The rate of dehiscence of the foreskin reconstruction is generally reported as 8-10%. We have audited the clinical outcomes from a single centre to determine the rate of foreskin dehiscence in patients undergoing foreskin reconstruction either as part of a hypospadias repair.</w:t>
            </w:r>
          </w:p>
        </w:tc>
      </w:tr>
      <w:tr w:rsidR="00FD3E6E" w:rsidRPr="00FD3E6E" w14:paraId="63420A43"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7901172F"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Methods</w:t>
            </w:r>
            <w:r w:rsidRPr="00FD3E6E">
              <w:rPr>
                <w:rFonts w:ascii="Calibri" w:eastAsia="Calibri" w:hAnsi="Calibri" w:cs="Times New Roman"/>
              </w:rPr>
              <w:t>:</w:t>
            </w:r>
          </w:p>
          <w:p w14:paraId="39E36262"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We retrospectively reviewed all foreskin reconstructions performed as part of a hypospadias repair over a three year period (2015 to 2017). Surgical technique and outcomes were assessed.</w:t>
            </w:r>
          </w:p>
        </w:tc>
      </w:tr>
      <w:tr w:rsidR="00FD3E6E" w:rsidRPr="00FD3E6E" w14:paraId="2021F0C1"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7790A32C"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Results</w:t>
            </w:r>
            <w:r w:rsidRPr="00FD3E6E">
              <w:rPr>
                <w:rFonts w:ascii="Calibri" w:eastAsia="Calibri" w:hAnsi="Calibri" w:cs="Times New Roman"/>
              </w:rPr>
              <w:t>:</w:t>
            </w:r>
          </w:p>
          <w:p w14:paraId="02D0D256"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 xml:space="preserve">184 patients underwent hypospadias repair during this period, of which 151 had foreskin reconstruction. 24 of 151 (16%) patients had dehiscence of the reconstructed foreskin. Of these 24 patients, 19 had distal hypospadias and 5 had mid penile hypospadias. Eleven underwent re-do reconstruction and 11 had circumcision (with two patients still awaiting reconstruction). Nine out of 11 re-do reconstruction procedures were successful (81%). </w:t>
            </w:r>
          </w:p>
        </w:tc>
      </w:tr>
      <w:tr w:rsidR="00FD3E6E" w:rsidRPr="00FD3E6E" w14:paraId="0B4BE2E3" w14:textId="77777777" w:rsidTr="00FD3E6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511DE8D7"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b/>
              </w:rPr>
              <w:t>Conclusion</w:t>
            </w:r>
            <w:r w:rsidRPr="00FD3E6E">
              <w:rPr>
                <w:rFonts w:ascii="Calibri" w:eastAsia="Calibri" w:hAnsi="Calibri" w:cs="Times New Roman"/>
              </w:rPr>
              <w:t>:</w:t>
            </w:r>
          </w:p>
          <w:p w14:paraId="037A70F4" w14:textId="77777777" w:rsidR="00FD3E6E" w:rsidRPr="00FD3E6E" w:rsidRDefault="00FD3E6E" w:rsidP="00FD3E6E">
            <w:pPr>
              <w:spacing w:after="0" w:line="240" w:lineRule="auto"/>
              <w:rPr>
                <w:rFonts w:ascii="Calibri" w:eastAsia="Calibri" w:hAnsi="Calibri" w:cs="Times New Roman"/>
              </w:rPr>
            </w:pPr>
            <w:r w:rsidRPr="00FD3E6E">
              <w:rPr>
                <w:rFonts w:ascii="Calibri" w:eastAsia="Calibri" w:hAnsi="Calibri" w:cs="Times New Roman"/>
              </w:rPr>
              <w:t>The rate of foreskin dehiscence within our case series is higher than the average reported in the literature.  Contributing factors include differing operative techniques and experience. Foreskin dehiscence may also be dependent on the original anatomical defect (distal vs mid-penile hypospadias). Re-do foreskin reconstructions is a viable option with a high success rate.</w:t>
            </w:r>
          </w:p>
        </w:tc>
      </w:tr>
    </w:tbl>
    <w:p w14:paraId="2DD1D1B6" w14:textId="77777777" w:rsidR="002D751E" w:rsidRDefault="002D751E"/>
    <w:p w14:paraId="42C4B684" w14:textId="10A7915A" w:rsidR="00876112" w:rsidRDefault="00624259" w:rsidP="00876112">
      <w:pPr>
        <w:spacing w:after="0"/>
        <w:rPr>
          <w:b/>
          <w:sz w:val="28"/>
          <w:szCs w:val="28"/>
          <w:u w:val="single"/>
        </w:rPr>
      </w:pPr>
      <w:r w:rsidRPr="00624259">
        <w:rPr>
          <w:b/>
          <w:sz w:val="28"/>
          <w:szCs w:val="28"/>
          <w:u w:val="single"/>
        </w:rPr>
        <w:lastRenderedPageBreak/>
        <w:t>Long Oral Presentations (15.20 – 16.50)</w:t>
      </w:r>
    </w:p>
    <w:p w14:paraId="077FDEC0" w14:textId="77777777" w:rsidR="00876112" w:rsidRPr="00624259" w:rsidRDefault="00876112" w:rsidP="00273473">
      <w:pPr>
        <w:spacing w:after="0" w:line="240" w:lineRule="auto"/>
        <w:rPr>
          <w:b/>
          <w:sz w:val="28"/>
          <w:szCs w:val="28"/>
          <w:u w:val="single"/>
        </w:rPr>
      </w:pPr>
    </w:p>
    <w:p w14:paraId="1D97EA7B" w14:textId="4F910FF1" w:rsidR="00876112" w:rsidRPr="00624259" w:rsidRDefault="00624259" w:rsidP="00876112">
      <w:pPr>
        <w:spacing w:after="0" w:line="240" w:lineRule="auto"/>
        <w:rPr>
          <w:b/>
          <w:sz w:val="24"/>
          <w:szCs w:val="24"/>
        </w:rPr>
      </w:pPr>
      <w:r w:rsidRPr="00624259">
        <w:rPr>
          <w:b/>
          <w:sz w:val="24"/>
          <w:szCs w:val="24"/>
        </w:rPr>
        <w:t xml:space="preserve">Abstract 1.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5612"/>
      </w:tblGrid>
      <w:tr w:rsidR="004955EA" w:rsidRPr="004955EA" w14:paraId="0D09D3E5" w14:textId="77777777" w:rsidTr="004955EA">
        <w:tc>
          <w:tcPr>
            <w:tcW w:w="5156" w:type="dxa"/>
            <w:tcBorders>
              <w:top w:val="single" w:sz="4" w:space="0" w:color="auto"/>
              <w:left w:val="single" w:sz="4" w:space="0" w:color="auto"/>
              <w:bottom w:val="single" w:sz="4" w:space="0" w:color="auto"/>
              <w:right w:val="single" w:sz="4" w:space="0" w:color="auto"/>
            </w:tcBorders>
          </w:tcPr>
          <w:p w14:paraId="2929B63B"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Name of Presenter</w:t>
            </w:r>
            <w:r w:rsidRPr="004955EA">
              <w:rPr>
                <w:rFonts w:ascii="Calibri" w:eastAsia="Calibri" w:hAnsi="Calibri" w:cs="Times New Roman"/>
              </w:rPr>
              <w:t>: Mr Ankur Mukherjee</w:t>
            </w:r>
          </w:p>
        </w:tc>
        <w:tc>
          <w:tcPr>
            <w:tcW w:w="5612" w:type="dxa"/>
            <w:tcBorders>
              <w:top w:val="single" w:sz="4" w:space="0" w:color="auto"/>
              <w:left w:val="single" w:sz="4" w:space="0" w:color="auto"/>
              <w:bottom w:val="single" w:sz="4" w:space="0" w:color="auto"/>
              <w:right w:val="single" w:sz="4" w:space="0" w:color="auto"/>
            </w:tcBorders>
            <w:hideMark/>
          </w:tcPr>
          <w:p w14:paraId="4040B26D"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Training grade/post</w:t>
            </w:r>
            <w:r w:rsidRPr="004955EA">
              <w:rPr>
                <w:rFonts w:ascii="Calibri" w:eastAsia="Calibri" w:hAnsi="Calibri" w:cs="Times New Roman"/>
              </w:rPr>
              <w:t>:ST3</w:t>
            </w:r>
          </w:p>
        </w:tc>
      </w:tr>
      <w:tr w:rsidR="004955EA" w:rsidRPr="004955EA" w14:paraId="624D59E7" w14:textId="77777777" w:rsidTr="004955EA">
        <w:tc>
          <w:tcPr>
            <w:tcW w:w="10768" w:type="dxa"/>
            <w:gridSpan w:val="2"/>
            <w:tcBorders>
              <w:top w:val="single" w:sz="4" w:space="0" w:color="auto"/>
              <w:left w:val="single" w:sz="4" w:space="0" w:color="auto"/>
              <w:bottom w:val="single" w:sz="4" w:space="0" w:color="auto"/>
              <w:right w:val="single" w:sz="4" w:space="0" w:color="auto"/>
            </w:tcBorders>
          </w:tcPr>
          <w:p w14:paraId="4D12B8EE"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Institution</w:t>
            </w:r>
            <w:r w:rsidRPr="004955EA">
              <w:rPr>
                <w:rFonts w:ascii="Calibri" w:eastAsia="Calibri" w:hAnsi="Calibri" w:cs="Times New Roman"/>
              </w:rPr>
              <w:t>:  Freeman Hospital</w:t>
            </w:r>
          </w:p>
        </w:tc>
      </w:tr>
      <w:tr w:rsidR="004955EA" w:rsidRPr="004955EA" w14:paraId="375CA1D5" w14:textId="77777777" w:rsidTr="004955EA">
        <w:tc>
          <w:tcPr>
            <w:tcW w:w="10768" w:type="dxa"/>
            <w:gridSpan w:val="2"/>
            <w:tcBorders>
              <w:top w:val="single" w:sz="4" w:space="0" w:color="auto"/>
              <w:left w:val="single" w:sz="4" w:space="0" w:color="auto"/>
              <w:bottom w:val="single" w:sz="4" w:space="0" w:color="auto"/>
              <w:right w:val="single" w:sz="4" w:space="0" w:color="auto"/>
            </w:tcBorders>
          </w:tcPr>
          <w:p w14:paraId="4C7ECBC8"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Title of Presentation</w:t>
            </w:r>
            <w:r w:rsidRPr="004955EA">
              <w:rPr>
                <w:rFonts w:ascii="Calibri" w:eastAsia="Calibri" w:hAnsi="Calibri" w:cs="Times New Roman"/>
              </w:rPr>
              <w:t xml:space="preserve">: </w:t>
            </w:r>
            <w:r w:rsidRPr="004955EA">
              <w:rPr>
                <w:rFonts w:ascii="Calibri" w:eastAsia="Calibri" w:hAnsi="Calibri" w:cs="Times New Roman"/>
                <w:lang w:val="en"/>
              </w:rPr>
              <w:t>Concordance of multiparametric-MRI (</w:t>
            </w: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with surgical pathology in patients undergoing Robot-Assisted Laparoscopic Prostatectomy (RALP)</w:t>
            </w:r>
          </w:p>
        </w:tc>
      </w:tr>
      <w:tr w:rsidR="004955EA" w:rsidRPr="004955EA" w14:paraId="15A4B8C2" w14:textId="77777777" w:rsidTr="004955EA">
        <w:tc>
          <w:tcPr>
            <w:tcW w:w="10768" w:type="dxa"/>
            <w:gridSpan w:val="2"/>
            <w:tcBorders>
              <w:top w:val="single" w:sz="4" w:space="0" w:color="auto"/>
              <w:left w:val="single" w:sz="4" w:space="0" w:color="auto"/>
              <w:bottom w:val="single" w:sz="4" w:space="0" w:color="auto"/>
              <w:right w:val="single" w:sz="4" w:space="0" w:color="auto"/>
            </w:tcBorders>
          </w:tcPr>
          <w:p w14:paraId="77B92A9D"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Authors</w:t>
            </w:r>
            <w:r w:rsidRPr="004955EA">
              <w:rPr>
                <w:rFonts w:ascii="Calibri" w:eastAsia="Calibri" w:hAnsi="Calibri" w:cs="Times New Roman"/>
              </w:rPr>
              <w:t xml:space="preserve">: Mukherjee A, Geraghty R, </w:t>
            </w:r>
            <w:proofErr w:type="spellStart"/>
            <w:r w:rsidRPr="004955EA">
              <w:rPr>
                <w:rFonts w:ascii="Calibri" w:eastAsia="Calibri" w:hAnsi="Calibri" w:cs="Times New Roman"/>
              </w:rPr>
              <w:t>Veeraterapillay</w:t>
            </w:r>
            <w:proofErr w:type="spellEnd"/>
            <w:r w:rsidRPr="004955EA">
              <w:rPr>
                <w:rFonts w:ascii="Calibri" w:eastAsia="Calibri" w:hAnsi="Calibri" w:cs="Times New Roman"/>
              </w:rPr>
              <w:t xml:space="preserve"> R, </w:t>
            </w:r>
            <w:proofErr w:type="spellStart"/>
            <w:r w:rsidRPr="004955EA">
              <w:rPr>
                <w:rFonts w:ascii="Calibri" w:eastAsia="Calibri" w:hAnsi="Calibri" w:cs="Times New Roman"/>
              </w:rPr>
              <w:t>Heer</w:t>
            </w:r>
            <w:proofErr w:type="spellEnd"/>
            <w:r w:rsidRPr="004955EA">
              <w:rPr>
                <w:rFonts w:ascii="Calibri" w:eastAsia="Calibri" w:hAnsi="Calibri" w:cs="Times New Roman"/>
              </w:rPr>
              <w:t xml:space="preserve"> R, Johnson MI, Soomro NA, Rai B </w:t>
            </w:r>
          </w:p>
        </w:tc>
      </w:tr>
      <w:tr w:rsidR="004955EA" w:rsidRPr="004955EA" w14:paraId="51954F39"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6B50975B"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Aims</w:t>
            </w:r>
            <w:r w:rsidRPr="004955EA">
              <w:rPr>
                <w:rFonts w:ascii="Calibri" w:eastAsia="Calibri" w:hAnsi="Calibri" w:cs="Times New Roman"/>
              </w:rPr>
              <w:t>:</w:t>
            </w:r>
          </w:p>
          <w:p w14:paraId="0DCB76B2" w14:textId="77777777" w:rsidR="004955EA" w:rsidRPr="004955EA" w:rsidRDefault="004955EA" w:rsidP="004955EA">
            <w:pPr>
              <w:spacing w:after="120" w:line="240" w:lineRule="auto"/>
              <w:rPr>
                <w:rFonts w:ascii="Calibri" w:eastAsia="Calibri" w:hAnsi="Calibri" w:cs="Times New Roman"/>
                <w:lang w:val="en"/>
              </w:rPr>
            </w:pPr>
            <w:r w:rsidRPr="004955EA">
              <w:rPr>
                <w:rFonts w:ascii="Calibri" w:eastAsia="Calibri" w:hAnsi="Calibri" w:cs="Times New Roman"/>
                <w:lang w:val="en"/>
              </w:rPr>
              <w:t>Multiparametric-MRI (</w:t>
            </w: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is increasingly used to detect clinically significant prostate cancer (</w:t>
            </w:r>
            <w:proofErr w:type="spellStart"/>
            <w:r w:rsidRPr="004955EA">
              <w:rPr>
                <w:rFonts w:ascii="Calibri" w:eastAsia="Calibri" w:hAnsi="Calibri" w:cs="Times New Roman"/>
                <w:lang w:val="en"/>
              </w:rPr>
              <w:t>Pca</w:t>
            </w:r>
            <w:proofErr w:type="spellEnd"/>
            <w:r w:rsidRPr="004955EA">
              <w:rPr>
                <w:rFonts w:ascii="Calibri" w:eastAsia="Calibri" w:hAnsi="Calibri" w:cs="Times New Roman"/>
                <w:lang w:val="en"/>
              </w:rPr>
              <w:t xml:space="preserve">). The concordance between lesion seen on </w:t>
            </w: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xml:space="preserve"> and radical prostatectomy is less well known. The objective of this study is to look at histopathologic concordance between clinically significant lesions and radical prostatectomy.</w:t>
            </w:r>
          </w:p>
        </w:tc>
      </w:tr>
      <w:tr w:rsidR="004955EA" w:rsidRPr="004955EA" w14:paraId="5E470088"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680D1F43"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Methods</w:t>
            </w:r>
            <w:r w:rsidRPr="004955EA">
              <w:rPr>
                <w:rFonts w:ascii="Calibri" w:eastAsia="Calibri" w:hAnsi="Calibri" w:cs="Times New Roman"/>
              </w:rPr>
              <w:t>:</w:t>
            </w:r>
          </w:p>
          <w:p w14:paraId="5A753A36" w14:textId="77777777" w:rsidR="004955EA" w:rsidRPr="004955EA" w:rsidRDefault="004955EA" w:rsidP="004955EA">
            <w:pPr>
              <w:spacing w:after="0" w:line="240" w:lineRule="auto"/>
              <w:rPr>
                <w:rFonts w:ascii="Calibri" w:eastAsia="Calibri" w:hAnsi="Calibri" w:cs="Times New Roman"/>
                <w:lang w:val="en"/>
              </w:rPr>
            </w:pPr>
            <w:r w:rsidRPr="004955EA">
              <w:rPr>
                <w:rFonts w:ascii="Calibri" w:eastAsia="Calibri" w:hAnsi="Calibri" w:cs="Times New Roman"/>
                <w:lang w:val="en"/>
              </w:rPr>
              <w:t xml:space="preserve">In this pilot study, we used an Institutional database of men who underwent </w:t>
            </w: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xml:space="preserve"> and subsequent RALP. The detection of lesions on </w:t>
            </w: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xml:space="preserve"> using the PI-RADS scoring system was compared to the final lesion location within the prostate on radical prostatectomy specimens and concordance was recorded. </w:t>
            </w:r>
          </w:p>
        </w:tc>
      </w:tr>
      <w:tr w:rsidR="004955EA" w:rsidRPr="004955EA" w14:paraId="7D127CF9"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64EC5638"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Results</w:t>
            </w:r>
            <w:r w:rsidRPr="004955EA">
              <w:rPr>
                <w:rFonts w:ascii="Calibri" w:eastAsia="Calibri" w:hAnsi="Calibri" w:cs="Times New Roman"/>
              </w:rPr>
              <w:t>:</w:t>
            </w:r>
          </w:p>
          <w:p w14:paraId="59B48300" w14:textId="77777777" w:rsidR="004955EA" w:rsidRPr="004955EA" w:rsidRDefault="004955EA" w:rsidP="004955EA">
            <w:pPr>
              <w:spacing w:after="0" w:line="240" w:lineRule="auto"/>
              <w:rPr>
                <w:rFonts w:ascii="Calibri" w:eastAsia="Calibri" w:hAnsi="Calibri" w:cs="Times New Roman"/>
                <w:lang w:val="en"/>
              </w:rPr>
            </w:pPr>
            <w:r w:rsidRPr="004955EA">
              <w:rPr>
                <w:rFonts w:ascii="Calibri" w:eastAsia="Calibri" w:hAnsi="Calibri" w:cs="Times New Roman"/>
                <w:lang w:val="en"/>
              </w:rPr>
              <w:t xml:space="preserve">Thirty patients were evaluated with a median age of 66yrs (mean 64yrs), mean prostate volume of 42cc on </w:t>
            </w: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xml:space="preserve"> and mean prostate histology volume of 40.8mls. The surgical pathology was concordant with 22.6% of lesions when the PI-RADS score was compared with the </w:t>
            </w:r>
            <w:r w:rsidRPr="004955EA">
              <w:rPr>
                <w:rFonts w:ascii="Calibri" w:eastAsia="Calibri" w:hAnsi="Calibri" w:cs="Times New Roman"/>
                <w:lang w:val="en-US"/>
              </w:rPr>
              <w:t>International Society of Urological Pathologists (</w:t>
            </w:r>
            <w:r w:rsidRPr="004955EA">
              <w:rPr>
                <w:rFonts w:ascii="Calibri" w:eastAsia="Calibri" w:hAnsi="Calibri" w:cs="Times New Roman"/>
                <w:lang w:val="en"/>
              </w:rPr>
              <w:t>ISUP) grade. There was a concordance of 39.5% when MRI lesion location presence was compared to its location on pathology prostate specimen.</w:t>
            </w:r>
          </w:p>
        </w:tc>
      </w:tr>
      <w:tr w:rsidR="004955EA" w:rsidRPr="004955EA" w14:paraId="5B3128A5"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495164D4"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Conclusion</w:t>
            </w:r>
            <w:r w:rsidRPr="004955EA">
              <w:rPr>
                <w:rFonts w:ascii="Calibri" w:eastAsia="Calibri" w:hAnsi="Calibri" w:cs="Times New Roman"/>
              </w:rPr>
              <w:t>:</w:t>
            </w:r>
          </w:p>
          <w:p w14:paraId="5295E2F8" w14:textId="77777777" w:rsidR="004955EA" w:rsidRPr="004955EA" w:rsidRDefault="004955EA" w:rsidP="004955EA">
            <w:pPr>
              <w:spacing w:after="0" w:line="240" w:lineRule="auto"/>
              <w:rPr>
                <w:rFonts w:ascii="Calibri" w:eastAsia="Calibri" w:hAnsi="Calibri" w:cs="Times New Roman"/>
              </w:rPr>
            </w:pPr>
            <w:proofErr w:type="spellStart"/>
            <w:r w:rsidRPr="004955EA">
              <w:rPr>
                <w:rFonts w:ascii="Calibri" w:eastAsia="Calibri" w:hAnsi="Calibri" w:cs="Times New Roman"/>
                <w:lang w:val="en"/>
              </w:rPr>
              <w:t>mpMRI</w:t>
            </w:r>
            <w:proofErr w:type="spellEnd"/>
            <w:r w:rsidRPr="004955EA">
              <w:rPr>
                <w:rFonts w:ascii="Calibri" w:eastAsia="Calibri" w:hAnsi="Calibri" w:cs="Times New Roman"/>
                <w:lang w:val="en"/>
              </w:rPr>
              <w:t xml:space="preserve"> in the evaluation of clinically significant </w:t>
            </w:r>
            <w:proofErr w:type="spellStart"/>
            <w:r w:rsidRPr="004955EA">
              <w:rPr>
                <w:rFonts w:ascii="Calibri" w:eastAsia="Calibri" w:hAnsi="Calibri" w:cs="Times New Roman"/>
                <w:lang w:val="en"/>
              </w:rPr>
              <w:t>PCa</w:t>
            </w:r>
            <w:proofErr w:type="spellEnd"/>
            <w:r w:rsidRPr="004955EA">
              <w:rPr>
                <w:rFonts w:ascii="Calibri" w:eastAsia="Calibri" w:hAnsi="Calibri" w:cs="Times New Roman"/>
                <w:lang w:val="en"/>
              </w:rPr>
              <w:t xml:space="preserve"> was moderately accurate for concordance with lesion location on pathology. A larger patient cohort and comparison with biopsy data is required for further evaluation.</w:t>
            </w:r>
          </w:p>
        </w:tc>
      </w:tr>
    </w:tbl>
    <w:p w14:paraId="67EE80D5" w14:textId="77777777" w:rsidR="004955EA" w:rsidRDefault="004955EA" w:rsidP="00FD3E6E">
      <w:pPr>
        <w:spacing w:after="0"/>
      </w:pPr>
    </w:p>
    <w:p w14:paraId="0F4C78B0" w14:textId="4701B950" w:rsidR="00876112" w:rsidRDefault="00456D6F" w:rsidP="00FD3E6E">
      <w:pPr>
        <w:spacing w:after="0"/>
        <w:rPr>
          <w:b/>
          <w:sz w:val="24"/>
          <w:szCs w:val="24"/>
        </w:rPr>
      </w:pPr>
      <w:r>
        <w:rPr>
          <w:b/>
          <w:sz w:val="24"/>
          <w:szCs w:val="24"/>
        </w:rPr>
        <w:t>Abstract 2</w:t>
      </w:r>
      <w:r w:rsidR="00876112">
        <w:rPr>
          <w:b/>
          <w:sz w:val="24"/>
          <w:szCs w:val="24"/>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5590"/>
      </w:tblGrid>
      <w:tr w:rsidR="004955EA" w:rsidRPr="004955EA" w14:paraId="2A326323" w14:textId="77777777" w:rsidTr="004955EA">
        <w:tc>
          <w:tcPr>
            <w:tcW w:w="5178" w:type="dxa"/>
            <w:tcBorders>
              <w:top w:val="single" w:sz="4" w:space="0" w:color="auto"/>
              <w:left w:val="single" w:sz="4" w:space="0" w:color="auto"/>
              <w:bottom w:val="single" w:sz="4" w:space="0" w:color="auto"/>
              <w:right w:val="single" w:sz="4" w:space="0" w:color="auto"/>
            </w:tcBorders>
          </w:tcPr>
          <w:p w14:paraId="67F6141A"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Name of Presenter</w:t>
            </w:r>
            <w:r w:rsidRPr="004955EA">
              <w:rPr>
                <w:rFonts w:ascii="Calibri" w:eastAsia="Calibri" w:hAnsi="Calibri" w:cs="Times New Roman"/>
              </w:rPr>
              <w:t xml:space="preserve">:   Angus Chin On </w:t>
            </w:r>
            <w:proofErr w:type="spellStart"/>
            <w:r w:rsidRPr="004955EA">
              <w:rPr>
                <w:rFonts w:ascii="Calibri" w:eastAsia="Calibri" w:hAnsi="Calibri" w:cs="Times New Roman"/>
              </w:rPr>
              <w:t>Luk</w:t>
            </w:r>
            <w:proofErr w:type="spellEnd"/>
          </w:p>
        </w:tc>
        <w:tc>
          <w:tcPr>
            <w:tcW w:w="5590" w:type="dxa"/>
            <w:tcBorders>
              <w:top w:val="single" w:sz="4" w:space="0" w:color="auto"/>
              <w:left w:val="single" w:sz="4" w:space="0" w:color="auto"/>
              <w:bottom w:val="single" w:sz="4" w:space="0" w:color="auto"/>
              <w:right w:val="single" w:sz="4" w:space="0" w:color="auto"/>
            </w:tcBorders>
            <w:hideMark/>
          </w:tcPr>
          <w:p w14:paraId="666E229A"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Training grade/post</w:t>
            </w:r>
            <w:r w:rsidRPr="004955EA">
              <w:rPr>
                <w:rFonts w:ascii="Calibri" w:eastAsia="Calibri" w:hAnsi="Calibri" w:cs="Times New Roman"/>
              </w:rPr>
              <w:t>: ST5</w:t>
            </w:r>
          </w:p>
        </w:tc>
      </w:tr>
      <w:tr w:rsidR="004955EA" w:rsidRPr="004955EA" w14:paraId="4CAA48C8" w14:textId="77777777" w:rsidTr="004955EA">
        <w:tc>
          <w:tcPr>
            <w:tcW w:w="10768" w:type="dxa"/>
            <w:gridSpan w:val="2"/>
            <w:tcBorders>
              <w:top w:val="single" w:sz="4" w:space="0" w:color="auto"/>
              <w:left w:val="single" w:sz="4" w:space="0" w:color="auto"/>
              <w:bottom w:val="single" w:sz="4" w:space="0" w:color="auto"/>
              <w:right w:val="single" w:sz="4" w:space="0" w:color="auto"/>
            </w:tcBorders>
          </w:tcPr>
          <w:p w14:paraId="6A11EC7C"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Institution</w:t>
            </w:r>
            <w:r w:rsidRPr="004955EA">
              <w:rPr>
                <w:rFonts w:ascii="Calibri" w:eastAsia="Calibri" w:hAnsi="Calibri" w:cs="Times New Roman"/>
              </w:rPr>
              <w:t>: James Cook University Hospital</w:t>
            </w:r>
          </w:p>
        </w:tc>
      </w:tr>
      <w:tr w:rsidR="004955EA" w:rsidRPr="004955EA" w14:paraId="680B6AEF" w14:textId="77777777" w:rsidTr="004955EA">
        <w:tc>
          <w:tcPr>
            <w:tcW w:w="10768" w:type="dxa"/>
            <w:gridSpan w:val="2"/>
            <w:tcBorders>
              <w:top w:val="single" w:sz="4" w:space="0" w:color="auto"/>
              <w:left w:val="single" w:sz="4" w:space="0" w:color="auto"/>
              <w:bottom w:val="single" w:sz="4" w:space="0" w:color="auto"/>
              <w:right w:val="single" w:sz="4" w:space="0" w:color="auto"/>
            </w:tcBorders>
          </w:tcPr>
          <w:p w14:paraId="7735DA7A" w14:textId="7145D9CD"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Title of Presentation</w:t>
            </w:r>
            <w:r w:rsidRPr="004955EA">
              <w:rPr>
                <w:rFonts w:ascii="Calibri" w:eastAsia="Calibri" w:hAnsi="Calibri" w:cs="Times New Roman"/>
              </w:rPr>
              <w:t>:</w:t>
            </w:r>
            <w:r w:rsidR="00273473">
              <w:rPr>
                <w:rFonts w:ascii="Calibri" w:eastAsia="Calibri" w:hAnsi="Calibri" w:cs="Times New Roman"/>
              </w:rPr>
              <w:t xml:space="preserve"> </w:t>
            </w:r>
            <w:r w:rsidR="007A29D3">
              <w:rPr>
                <w:rFonts w:ascii="Calibri" w:eastAsia="Calibri" w:hAnsi="Calibri" w:cs="Times New Roman"/>
              </w:rPr>
              <w:t>----6</w:t>
            </w:r>
            <w:bookmarkStart w:id="0" w:name="_GoBack"/>
            <w:bookmarkEnd w:id="0"/>
            <w:r w:rsidRPr="004955EA">
              <w:rPr>
                <w:rFonts w:ascii="Calibri" w:eastAsia="Calibri" w:hAnsi="Calibri" w:cs="Times New Roman"/>
              </w:rPr>
              <w:t>Investigation of suspected prostate cancer at JCUH; evaluation of local practice and feasibility of moving towards MRI as first line investigation</w:t>
            </w:r>
          </w:p>
        </w:tc>
      </w:tr>
      <w:tr w:rsidR="004955EA" w:rsidRPr="004955EA" w14:paraId="6F1384B2" w14:textId="77777777" w:rsidTr="004955EA">
        <w:tc>
          <w:tcPr>
            <w:tcW w:w="10768" w:type="dxa"/>
            <w:gridSpan w:val="2"/>
            <w:tcBorders>
              <w:top w:val="single" w:sz="4" w:space="0" w:color="auto"/>
              <w:left w:val="single" w:sz="4" w:space="0" w:color="auto"/>
              <w:bottom w:val="single" w:sz="4" w:space="0" w:color="auto"/>
              <w:right w:val="single" w:sz="4" w:space="0" w:color="auto"/>
            </w:tcBorders>
          </w:tcPr>
          <w:p w14:paraId="19125354"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Authors</w:t>
            </w:r>
            <w:r w:rsidRPr="004955EA">
              <w:rPr>
                <w:rFonts w:ascii="Calibri" w:eastAsia="Calibri" w:hAnsi="Calibri" w:cs="Times New Roman"/>
              </w:rPr>
              <w:t xml:space="preserve">:  </w:t>
            </w:r>
            <w:proofErr w:type="spellStart"/>
            <w:r w:rsidRPr="004955EA">
              <w:rPr>
                <w:rFonts w:ascii="Calibri" w:eastAsia="Calibri" w:hAnsi="Calibri" w:cs="Times New Roman"/>
              </w:rPr>
              <w:t>Luk</w:t>
            </w:r>
            <w:proofErr w:type="spellEnd"/>
            <w:r w:rsidRPr="004955EA">
              <w:rPr>
                <w:rFonts w:ascii="Calibri" w:eastAsia="Calibri" w:hAnsi="Calibri" w:cs="Times New Roman"/>
              </w:rPr>
              <w:t xml:space="preserve"> ACO, Lee SJH, Chadwick D </w:t>
            </w:r>
          </w:p>
        </w:tc>
      </w:tr>
      <w:tr w:rsidR="004955EA" w:rsidRPr="004955EA" w14:paraId="1E9825C3"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5AD68FEE"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Aims</w:t>
            </w:r>
            <w:r w:rsidRPr="004955EA">
              <w:rPr>
                <w:rFonts w:ascii="Calibri" w:eastAsia="Calibri" w:hAnsi="Calibri" w:cs="Times New Roman"/>
              </w:rPr>
              <w:t>:</w:t>
            </w:r>
          </w:p>
          <w:p w14:paraId="745C939F"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Given the recent NICE recommendation of offering MRI as first-line investigation for suspected prostate cancer (</w:t>
            </w:r>
            <w:proofErr w:type="spellStart"/>
            <w:r w:rsidRPr="004955EA">
              <w:rPr>
                <w:rFonts w:ascii="Calibri" w:eastAsia="Calibri" w:hAnsi="Calibri" w:cs="Times New Roman"/>
              </w:rPr>
              <w:t>PCa</w:t>
            </w:r>
            <w:proofErr w:type="spellEnd"/>
            <w:r w:rsidRPr="004955EA">
              <w:rPr>
                <w:rFonts w:ascii="Calibri" w:eastAsia="Calibri" w:hAnsi="Calibri" w:cs="Times New Roman"/>
              </w:rPr>
              <w:t xml:space="preserve">), we evaluated our local data to assess whether we can safely move in-line with national guidance. </w:t>
            </w:r>
          </w:p>
        </w:tc>
      </w:tr>
      <w:tr w:rsidR="004955EA" w:rsidRPr="004955EA" w14:paraId="656FB10A"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4DED6C00"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Methods</w:t>
            </w:r>
            <w:r w:rsidRPr="004955EA">
              <w:rPr>
                <w:rFonts w:ascii="Calibri" w:eastAsia="Calibri" w:hAnsi="Calibri" w:cs="Times New Roman"/>
              </w:rPr>
              <w:t>:</w:t>
            </w:r>
          </w:p>
          <w:p w14:paraId="285524C0"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 xml:space="preserve">Retrospective analysis was performed on all patients who were investigated for possible </w:t>
            </w:r>
            <w:proofErr w:type="spellStart"/>
            <w:r w:rsidRPr="004955EA">
              <w:rPr>
                <w:rFonts w:ascii="Calibri" w:eastAsia="Calibri" w:hAnsi="Calibri" w:cs="Times New Roman"/>
              </w:rPr>
              <w:t>PCa</w:t>
            </w:r>
            <w:proofErr w:type="spellEnd"/>
            <w:r w:rsidRPr="004955EA">
              <w:rPr>
                <w:rFonts w:ascii="Calibri" w:eastAsia="Calibri" w:hAnsi="Calibri" w:cs="Times New Roman"/>
              </w:rPr>
              <w:t xml:space="preserve"> with MRI and TRUS biopsy between June-October 2018. Patients with prior diagnosis of </w:t>
            </w:r>
            <w:proofErr w:type="spellStart"/>
            <w:r w:rsidRPr="004955EA">
              <w:rPr>
                <w:rFonts w:ascii="Calibri" w:eastAsia="Calibri" w:hAnsi="Calibri" w:cs="Times New Roman"/>
              </w:rPr>
              <w:t>PCa</w:t>
            </w:r>
            <w:proofErr w:type="spellEnd"/>
            <w:r w:rsidRPr="004955EA">
              <w:rPr>
                <w:rFonts w:ascii="Calibri" w:eastAsia="Calibri" w:hAnsi="Calibri" w:cs="Times New Roman"/>
              </w:rPr>
              <w:t xml:space="preserve"> or previous negative investigations were excluded. Results for MRI and TRSU biopsy were obtained via electronic record. MRI results were considered positive if it was reported as PIRADS ≥3, or lesions suspicious of cancer +/- target for biopsy. </w:t>
            </w:r>
          </w:p>
        </w:tc>
      </w:tr>
      <w:tr w:rsidR="004955EA" w:rsidRPr="004955EA" w14:paraId="3EFC0EA8"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08E7BDEE"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Results</w:t>
            </w:r>
            <w:r w:rsidRPr="004955EA">
              <w:rPr>
                <w:rFonts w:ascii="Calibri" w:eastAsia="Calibri" w:hAnsi="Calibri" w:cs="Times New Roman"/>
              </w:rPr>
              <w:t>:</w:t>
            </w:r>
          </w:p>
          <w:p w14:paraId="3D6DF926"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 xml:space="preserve">A total of 216 patients were included in the study. 177 patients had a positive MRI (82%), and overall 140 patients had a positive TRUS biopsy (64.8%). 132 patients within the positive-MRI group had a positive biopsy (74%). 8 out 39 patients who had a negative MRI were found to have </w:t>
            </w:r>
            <w:proofErr w:type="spellStart"/>
            <w:r w:rsidRPr="004955EA">
              <w:rPr>
                <w:rFonts w:ascii="Calibri" w:eastAsia="Calibri" w:hAnsi="Calibri" w:cs="Times New Roman"/>
              </w:rPr>
              <w:t>PCa</w:t>
            </w:r>
            <w:proofErr w:type="spellEnd"/>
            <w:r w:rsidRPr="004955EA">
              <w:rPr>
                <w:rFonts w:ascii="Calibri" w:eastAsia="Calibri" w:hAnsi="Calibri" w:cs="Times New Roman"/>
              </w:rPr>
              <w:t xml:space="preserve"> on biopsy (20.5%). Of those 8 patients, 1 had Gleason 3+4 disease, whilst all others had Gleason 3+3 disease. MRI had a sensitivity of 94.3% and specificity of 40.8%. Our data suggested that triaging with MRI would potentially avoid 18% subsequent biopsies, with 23% less Gleason 3+3 diagnoses; whilst missing 2.5% intermediate risk </w:t>
            </w:r>
            <w:proofErr w:type="spellStart"/>
            <w:r w:rsidRPr="004955EA">
              <w:rPr>
                <w:rFonts w:ascii="Calibri" w:eastAsia="Calibri" w:hAnsi="Calibri" w:cs="Times New Roman"/>
              </w:rPr>
              <w:t>PCa</w:t>
            </w:r>
            <w:proofErr w:type="spellEnd"/>
            <w:r w:rsidRPr="004955EA">
              <w:rPr>
                <w:rFonts w:ascii="Calibri" w:eastAsia="Calibri" w:hAnsi="Calibri" w:cs="Times New Roman"/>
              </w:rPr>
              <w:t xml:space="preserve">. </w:t>
            </w:r>
          </w:p>
        </w:tc>
      </w:tr>
      <w:tr w:rsidR="004955EA" w:rsidRPr="004955EA" w14:paraId="1E57BCBE" w14:textId="77777777" w:rsidTr="004955EA">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66CB136D"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Conclusion</w:t>
            </w:r>
            <w:r w:rsidRPr="004955EA">
              <w:rPr>
                <w:rFonts w:ascii="Calibri" w:eastAsia="Calibri" w:hAnsi="Calibri" w:cs="Times New Roman"/>
              </w:rPr>
              <w:t>:</w:t>
            </w:r>
          </w:p>
          <w:p w14:paraId="17B538FB"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 xml:space="preserve">Our MRI results for suspected prostate cancer largely conform to PROMIS findings, and implementation of MRI as first-line triage for subsequent biopsy appears to be feasible and safe. This has led to a change of practice within our trust. </w:t>
            </w:r>
          </w:p>
        </w:tc>
      </w:tr>
    </w:tbl>
    <w:p w14:paraId="06B05684" w14:textId="382D104E" w:rsidR="00456D6F" w:rsidRDefault="00624259" w:rsidP="00876112">
      <w:pPr>
        <w:spacing w:after="0" w:line="240" w:lineRule="auto"/>
        <w:rPr>
          <w:b/>
          <w:sz w:val="24"/>
          <w:szCs w:val="24"/>
        </w:rPr>
      </w:pPr>
      <w:r w:rsidRPr="00624259">
        <w:rPr>
          <w:b/>
          <w:sz w:val="24"/>
          <w:szCs w:val="24"/>
        </w:rPr>
        <w:lastRenderedPageBreak/>
        <w:t xml:space="preserve">Abstract </w:t>
      </w:r>
      <w:r w:rsidR="00456D6F">
        <w:rPr>
          <w:b/>
          <w:sz w:val="24"/>
          <w:szCs w:val="24"/>
        </w:rPr>
        <w:t>3</w:t>
      </w:r>
      <w:r w:rsidR="00876112">
        <w:rPr>
          <w:b/>
          <w:sz w:val="24"/>
          <w:szCs w:val="24"/>
        </w:rPr>
        <w:t>.</w:t>
      </w:r>
    </w:p>
    <w:p w14:paraId="33D75887" w14:textId="77777777" w:rsidR="00876112" w:rsidRDefault="00876112" w:rsidP="00876112">
      <w:pPr>
        <w:spacing w:after="0" w:line="240" w:lineRule="auto"/>
        <w:rPr>
          <w:b/>
          <w:sz w:val="24"/>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131"/>
      </w:tblGrid>
      <w:tr w:rsidR="004955EA" w:rsidRPr="004955EA" w14:paraId="50944689" w14:textId="77777777" w:rsidTr="00C43F21">
        <w:tc>
          <w:tcPr>
            <w:tcW w:w="5637" w:type="dxa"/>
            <w:tcBorders>
              <w:top w:val="single" w:sz="4" w:space="0" w:color="auto"/>
              <w:left w:val="single" w:sz="4" w:space="0" w:color="auto"/>
              <w:bottom w:val="single" w:sz="4" w:space="0" w:color="auto"/>
              <w:right w:val="single" w:sz="4" w:space="0" w:color="auto"/>
            </w:tcBorders>
          </w:tcPr>
          <w:p w14:paraId="41379346"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Name of Presenter</w:t>
            </w:r>
            <w:r w:rsidRPr="004955EA">
              <w:rPr>
                <w:rFonts w:ascii="Calibri" w:eastAsia="Calibri" w:hAnsi="Calibri" w:cs="Times New Roman"/>
              </w:rPr>
              <w:t>:  Thomas J. O’Hare</w:t>
            </w:r>
          </w:p>
        </w:tc>
        <w:tc>
          <w:tcPr>
            <w:tcW w:w="5131" w:type="dxa"/>
            <w:tcBorders>
              <w:top w:val="single" w:sz="4" w:space="0" w:color="auto"/>
              <w:left w:val="single" w:sz="4" w:space="0" w:color="auto"/>
              <w:bottom w:val="single" w:sz="4" w:space="0" w:color="auto"/>
              <w:right w:val="single" w:sz="4" w:space="0" w:color="auto"/>
            </w:tcBorders>
            <w:hideMark/>
          </w:tcPr>
          <w:p w14:paraId="0C19B07C"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Training grade/post</w:t>
            </w:r>
            <w:r w:rsidRPr="004955EA">
              <w:rPr>
                <w:rFonts w:ascii="Calibri" w:eastAsia="Calibri" w:hAnsi="Calibri" w:cs="Times New Roman"/>
              </w:rPr>
              <w:t>:  ST5</w:t>
            </w:r>
          </w:p>
        </w:tc>
      </w:tr>
      <w:tr w:rsidR="004955EA" w:rsidRPr="004955EA" w14:paraId="5F5935A3"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6362C62A"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Institution</w:t>
            </w:r>
            <w:r w:rsidRPr="004955EA">
              <w:rPr>
                <w:rFonts w:ascii="Calibri" w:eastAsia="Calibri" w:hAnsi="Calibri" w:cs="Times New Roman"/>
              </w:rPr>
              <w:t>:  Sunderland Royal Hospital</w:t>
            </w:r>
          </w:p>
        </w:tc>
      </w:tr>
      <w:tr w:rsidR="004955EA" w:rsidRPr="004955EA" w14:paraId="4751B019" w14:textId="77777777" w:rsidTr="00C43F21">
        <w:trPr>
          <w:trHeight w:val="348"/>
        </w:trPr>
        <w:tc>
          <w:tcPr>
            <w:tcW w:w="10768" w:type="dxa"/>
            <w:gridSpan w:val="2"/>
            <w:tcBorders>
              <w:top w:val="single" w:sz="4" w:space="0" w:color="auto"/>
              <w:left w:val="single" w:sz="4" w:space="0" w:color="auto"/>
              <w:bottom w:val="single" w:sz="4" w:space="0" w:color="auto"/>
              <w:right w:val="single" w:sz="4" w:space="0" w:color="auto"/>
            </w:tcBorders>
          </w:tcPr>
          <w:p w14:paraId="7C6B9C22"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Title of Presentation</w:t>
            </w:r>
            <w:r w:rsidRPr="004955EA">
              <w:rPr>
                <w:rFonts w:ascii="Calibri" w:eastAsia="Calibri" w:hAnsi="Calibri" w:cs="Times New Roman"/>
              </w:rPr>
              <w:t>: Radiation exposure during endourological procedures: a review of 200 cases</w:t>
            </w:r>
          </w:p>
        </w:tc>
      </w:tr>
      <w:tr w:rsidR="004955EA" w:rsidRPr="004955EA" w14:paraId="060589F6"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23DD90B7"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Authors</w:t>
            </w:r>
            <w:r w:rsidRPr="004955EA">
              <w:rPr>
                <w:rFonts w:ascii="Calibri" w:eastAsia="Calibri" w:hAnsi="Calibri" w:cs="Times New Roman"/>
              </w:rPr>
              <w:t>: Thomas J. O’Hare, Mark Hanson, Ben Jenkins,  Jenny Koo Ng</w:t>
            </w:r>
          </w:p>
        </w:tc>
      </w:tr>
      <w:tr w:rsidR="004955EA" w:rsidRPr="004955EA" w14:paraId="5DFDDD4C"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1D8A4ECD"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Aims</w:t>
            </w:r>
            <w:r w:rsidRPr="004955EA">
              <w:rPr>
                <w:rFonts w:ascii="Calibri" w:eastAsia="Calibri" w:hAnsi="Calibri" w:cs="Times New Roman"/>
              </w:rPr>
              <w:t>: Given the increased awareness of radiation safety it is perhaps surprising that there is relatively little data on case-per-case doses. The recommend annual whole body dose is 50mSv. The aim of this study was to establish baseline median doses for common endourological procedures.</w:t>
            </w:r>
          </w:p>
        </w:tc>
      </w:tr>
      <w:tr w:rsidR="004955EA" w:rsidRPr="004955EA" w14:paraId="68C13C82" w14:textId="77777777" w:rsidTr="00876112">
        <w:trPr>
          <w:trHeight w:val="1178"/>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6F1F89BE"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Methods</w:t>
            </w:r>
            <w:r w:rsidRPr="004955EA">
              <w:rPr>
                <w:rFonts w:ascii="Calibri" w:eastAsia="Calibri" w:hAnsi="Calibri" w:cs="Times New Roman"/>
              </w:rPr>
              <w:t>:</w:t>
            </w:r>
          </w:p>
          <w:p w14:paraId="27F435C3"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-Retrospective review of radiation doses delivered during 50 stent insertions, 50 rigid ureteroscopies, 50 Flexible ureteroscopies and 50 PCNLs performed by 17 different surgeons</w:t>
            </w:r>
          </w:p>
          <w:p w14:paraId="5EBF3781"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 xml:space="preserve">-To minimise variability all dose recordings were recovered from the same C-arm (Philips </w:t>
            </w:r>
            <w:proofErr w:type="spellStart"/>
            <w:r w:rsidRPr="004955EA">
              <w:rPr>
                <w:rFonts w:ascii="Calibri" w:eastAsia="Calibri" w:hAnsi="Calibri" w:cs="Times New Roman"/>
              </w:rPr>
              <w:t>Pulsera</w:t>
            </w:r>
            <w:proofErr w:type="spellEnd"/>
            <w:r w:rsidRPr="004955EA">
              <w:rPr>
                <w:rFonts w:ascii="Calibri" w:eastAsia="Calibri" w:hAnsi="Calibri" w:cs="Times New Roman"/>
              </w:rPr>
              <w:t xml:space="preserve"> S/N 122 062.26)</w:t>
            </w:r>
          </w:p>
        </w:tc>
      </w:tr>
      <w:tr w:rsidR="004955EA" w:rsidRPr="004955EA" w14:paraId="73B3DEB4" w14:textId="77777777" w:rsidTr="00876112">
        <w:trPr>
          <w:trHeight w:val="2511"/>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49FDFA1E" w14:textId="2F713501" w:rsidR="00876112" w:rsidRPr="004955EA" w:rsidRDefault="004955EA" w:rsidP="00876112">
            <w:pPr>
              <w:spacing w:after="0" w:line="240" w:lineRule="auto"/>
              <w:rPr>
                <w:rFonts w:ascii="Calibri" w:eastAsia="Calibri" w:hAnsi="Calibri" w:cs="Times New Roman"/>
              </w:rPr>
            </w:pPr>
            <w:r w:rsidRPr="004955EA">
              <w:rPr>
                <w:rFonts w:ascii="Calibri" w:eastAsia="Calibri" w:hAnsi="Calibri" w:cs="Times New Roman"/>
              </w:rPr>
              <w:t xml:space="preserve"> </w:t>
            </w:r>
          </w:p>
          <w:tbl>
            <w:tblPr>
              <w:tblW w:w="9072" w:type="dxa"/>
              <w:tblLook w:val="04A0" w:firstRow="1" w:lastRow="0" w:firstColumn="1" w:lastColumn="0" w:noHBand="0" w:noVBand="1"/>
            </w:tblPr>
            <w:tblGrid>
              <w:gridCol w:w="1560"/>
              <w:gridCol w:w="1984"/>
              <w:gridCol w:w="1985"/>
              <w:gridCol w:w="1830"/>
              <w:gridCol w:w="1713"/>
            </w:tblGrid>
            <w:tr w:rsidR="004955EA" w:rsidRPr="004955EA" w14:paraId="57520112" w14:textId="77777777" w:rsidTr="00562646">
              <w:trPr>
                <w:trHeight w:val="300"/>
              </w:trPr>
              <w:tc>
                <w:tcPr>
                  <w:tcW w:w="1560" w:type="dxa"/>
                  <w:tcBorders>
                    <w:top w:val="nil"/>
                    <w:left w:val="nil"/>
                    <w:bottom w:val="nil"/>
                    <w:right w:val="nil"/>
                  </w:tcBorders>
                  <w:shd w:val="clear" w:color="auto" w:fill="auto"/>
                  <w:noWrap/>
                  <w:vAlign w:val="bottom"/>
                  <w:hideMark/>
                </w:tcPr>
                <w:p w14:paraId="719E01C1" w14:textId="1C66B671" w:rsidR="004955EA" w:rsidRPr="004955EA" w:rsidRDefault="00876112" w:rsidP="00876112">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w:t>
                  </w:r>
                  <w:r w:rsidR="004955EA" w:rsidRPr="004955EA">
                    <w:rPr>
                      <w:rFonts w:ascii="Calibri" w:eastAsia="Times New Roman" w:hAnsi="Calibri" w:cs="Times New Roman"/>
                      <w:b/>
                      <w:bCs/>
                      <w:color w:val="000000"/>
                      <w:lang w:eastAsia="en-GB"/>
                    </w:rPr>
                    <w:t>esults:</w:t>
                  </w:r>
                </w:p>
              </w:tc>
              <w:tc>
                <w:tcPr>
                  <w:tcW w:w="1984" w:type="dxa"/>
                  <w:tcBorders>
                    <w:top w:val="nil"/>
                    <w:left w:val="nil"/>
                    <w:bottom w:val="nil"/>
                    <w:right w:val="nil"/>
                  </w:tcBorders>
                  <w:shd w:val="clear" w:color="auto" w:fill="auto"/>
                  <w:noWrap/>
                  <w:vAlign w:val="bottom"/>
                  <w:hideMark/>
                </w:tcPr>
                <w:p w14:paraId="55B64F02" w14:textId="77777777" w:rsidR="004955EA" w:rsidRPr="004955EA" w:rsidRDefault="004955EA" w:rsidP="00876112">
                  <w:pPr>
                    <w:spacing w:after="0" w:line="240" w:lineRule="auto"/>
                    <w:rPr>
                      <w:rFonts w:ascii="Calibri" w:eastAsia="Times New Roman" w:hAnsi="Calibri" w:cs="Times New Roman"/>
                      <w:b/>
                      <w:bCs/>
                      <w:color w:val="000000"/>
                      <w:lang w:eastAsia="en-GB"/>
                    </w:rPr>
                  </w:pPr>
                  <w:r w:rsidRPr="004955EA">
                    <w:rPr>
                      <w:rFonts w:ascii="Calibri" w:eastAsia="Times New Roman" w:hAnsi="Calibri" w:cs="Times New Roman"/>
                      <w:b/>
                      <w:bCs/>
                      <w:color w:val="000000"/>
                      <w:lang w:eastAsia="en-GB"/>
                    </w:rPr>
                    <w:t>Stent</w:t>
                  </w:r>
                </w:p>
              </w:tc>
              <w:tc>
                <w:tcPr>
                  <w:tcW w:w="1985" w:type="dxa"/>
                  <w:tcBorders>
                    <w:top w:val="nil"/>
                    <w:left w:val="nil"/>
                    <w:bottom w:val="nil"/>
                    <w:right w:val="nil"/>
                  </w:tcBorders>
                  <w:shd w:val="clear" w:color="auto" w:fill="auto"/>
                  <w:noWrap/>
                  <w:vAlign w:val="bottom"/>
                  <w:hideMark/>
                </w:tcPr>
                <w:p w14:paraId="4E01F058" w14:textId="77777777" w:rsidR="004955EA" w:rsidRPr="004955EA" w:rsidRDefault="004955EA" w:rsidP="00876112">
                  <w:pPr>
                    <w:spacing w:after="0" w:line="240" w:lineRule="auto"/>
                    <w:rPr>
                      <w:rFonts w:ascii="Calibri" w:eastAsia="Times New Roman" w:hAnsi="Calibri" w:cs="Times New Roman"/>
                      <w:b/>
                      <w:bCs/>
                      <w:color w:val="000000"/>
                      <w:lang w:eastAsia="en-GB"/>
                    </w:rPr>
                  </w:pPr>
                  <w:r w:rsidRPr="004955EA">
                    <w:rPr>
                      <w:rFonts w:ascii="Calibri" w:eastAsia="Times New Roman" w:hAnsi="Calibri" w:cs="Times New Roman"/>
                      <w:b/>
                      <w:bCs/>
                      <w:color w:val="000000"/>
                      <w:lang w:eastAsia="en-GB"/>
                    </w:rPr>
                    <w:t>RURS</w:t>
                  </w:r>
                </w:p>
              </w:tc>
              <w:tc>
                <w:tcPr>
                  <w:tcW w:w="1830" w:type="dxa"/>
                  <w:tcBorders>
                    <w:top w:val="nil"/>
                    <w:left w:val="nil"/>
                    <w:bottom w:val="nil"/>
                    <w:right w:val="nil"/>
                  </w:tcBorders>
                  <w:shd w:val="clear" w:color="auto" w:fill="auto"/>
                  <w:noWrap/>
                  <w:vAlign w:val="bottom"/>
                  <w:hideMark/>
                </w:tcPr>
                <w:p w14:paraId="3B6E3A08" w14:textId="77777777" w:rsidR="004955EA" w:rsidRPr="004955EA" w:rsidRDefault="004955EA" w:rsidP="00876112">
                  <w:pPr>
                    <w:spacing w:after="0" w:line="240" w:lineRule="auto"/>
                    <w:rPr>
                      <w:rFonts w:ascii="Calibri" w:eastAsia="Times New Roman" w:hAnsi="Calibri" w:cs="Times New Roman"/>
                      <w:b/>
                      <w:bCs/>
                      <w:color w:val="000000"/>
                      <w:lang w:eastAsia="en-GB"/>
                    </w:rPr>
                  </w:pPr>
                  <w:r w:rsidRPr="004955EA">
                    <w:rPr>
                      <w:rFonts w:ascii="Calibri" w:eastAsia="Times New Roman" w:hAnsi="Calibri" w:cs="Times New Roman"/>
                      <w:b/>
                      <w:bCs/>
                      <w:color w:val="000000"/>
                      <w:lang w:eastAsia="en-GB"/>
                    </w:rPr>
                    <w:t>FURS</w:t>
                  </w:r>
                </w:p>
              </w:tc>
              <w:tc>
                <w:tcPr>
                  <w:tcW w:w="1713" w:type="dxa"/>
                  <w:tcBorders>
                    <w:top w:val="nil"/>
                    <w:left w:val="nil"/>
                    <w:bottom w:val="nil"/>
                    <w:right w:val="nil"/>
                  </w:tcBorders>
                  <w:shd w:val="clear" w:color="auto" w:fill="auto"/>
                  <w:noWrap/>
                  <w:vAlign w:val="bottom"/>
                  <w:hideMark/>
                </w:tcPr>
                <w:p w14:paraId="0EB52B7D" w14:textId="77777777" w:rsidR="004955EA" w:rsidRPr="004955EA" w:rsidRDefault="004955EA" w:rsidP="00876112">
                  <w:pPr>
                    <w:spacing w:after="0" w:line="240" w:lineRule="auto"/>
                    <w:rPr>
                      <w:rFonts w:ascii="Calibri" w:eastAsia="Times New Roman" w:hAnsi="Calibri" w:cs="Times New Roman"/>
                      <w:b/>
                      <w:bCs/>
                      <w:color w:val="000000"/>
                      <w:lang w:eastAsia="en-GB"/>
                    </w:rPr>
                  </w:pPr>
                  <w:r w:rsidRPr="004955EA">
                    <w:rPr>
                      <w:rFonts w:ascii="Calibri" w:eastAsia="Times New Roman" w:hAnsi="Calibri" w:cs="Times New Roman"/>
                      <w:b/>
                      <w:bCs/>
                      <w:color w:val="000000"/>
                      <w:lang w:eastAsia="en-GB"/>
                    </w:rPr>
                    <w:t>PCNL</w:t>
                  </w:r>
                </w:p>
              </w:tc>
            </w:tr>
            <w:tr w:rsidR="004955EA" w:rsidRPr="004955EA" w14:paraId="04CD94F6" w14:textId="77777777" w:rsidTr="00562646">
              <w:trPr>
                <w:trHeight w:val="300"/>
              </w:trPr>
              <w:tc>
                <w:tcPr>
                  <w:tcW w:w="1560" w:type="dxa"/>
                  <w:tcBorders>
                    <w:top w:val="nil"/>
                    <w:left w:val="nil"/>
                    <w:bottom w:val="nil"/>
                    <w:right w:val="nil"/>
                  </w:tcBorders>
                  <w:shd w:val="clear" w:color="auto" w:fill="auto"/>
                  <w:noWrap/>
                  <w:vAlign w:val="bottom"/>
                  <w:hideMark/>
                </w:tcPr>
                <w:p w14:paraId="00000541" w14:textId="77777777" w:rsidR="004955EA" w:rsidRPr="004955EA" w:rsidRDefault="004955EA" w:rsidP="00876112">
                  <w:pPr>
                    <w:spacing w:after="0" w:line="240" w:lineRule="auto"/>
                    <w:rPr>
                      <w:rFonts w:ascii="Calibri" w:eastAsia="Times New Roman" w:hAnsi="Calibri" w:cs="Times New Roman"/>
                      <w:b/>
                      <w:bCs/>
                      <w:color w:val="000000"/>
                      <w:lang w:eastAsia="en-GB"/>
                    </w:rPr>
                  </w:pPr>
                  <w:proofErr w:type="spellStart"/>
                  <w:r w:rsidRPr="004955EA">
                    <w:rPr>
                      <w:rFonts w:ascii="Calibri" w:eastAsia="Times New Roman" w:hAnsi="Calibri" w:cs="Times New Roman"/>
                      <w:b/>
                      <w:bCs/>
                      <w:color w:val="000000"/>
                      <w:lang w:eastAsia="en-GB"/>
                    </w:rPr>
                    <w:t>mGy</w:t>
                  </w:r>
                  <w:proofErr w:type="spellEnd"/>
                </w:p>
              </w:tc>
              <w:tc>
                <w:tcPr>
                  <w:tcW w:w="1984" w:type="dxa"/>
                  <w:tcBorders>
                    <w:top w:val="nil"/>
                    <w:left w:val="nil"/>
                    <w:bottom w:val="nil"/>
                    <w:right w:val="nil"/>
                  </w:tcBorders>
                  <w:shd w:val="clear" w:color="auto" w:fill="auto"/>
                  <w:noWrap/>
                  <w:vAlign w:val="bottom"/>
                  <w:hideMark/>
                </w:tcPr>
                <w:p w14:paraId="1BD64FCE" w14:textId="77777777" w:rsidR="004955EA" w:rsidRPr="004955EA" w:rsidRDefault="004955EA" w:rsidP="00876112">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7.7 (0.5-59)</w:t>
                  </w:r>
                </w:p>
              </w:tc>
              <w:tc>
                <w:tcPr>
                  <w:tcW w:w="1985" w:type="dxa"/>
                  <w:tcBorders>
                    <w:top w:val="nil"/>
                    <w:left w:val="nil"/>
                    <w:bottom w:val="nil"/>
                    <w:right w:val="nil"/>
                  </w:tcBorders>
                  <w:shd w:val="clear" w:color="auto" w:fill="auto"/>
                  <w:noWrap/>
                  <w:vAlign w:val="bottom"/>
                  <w:hideMark/>
                </w:tcPr>
                <w:p w14:paraId="07C0465E" w14:textId="77777777" w:rsidR="004955EA" w:rsidRPr="004955EA" w:rsidRDefault="004955EA" w:rsidP="00876112">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9.3 (0.4-87.1)</w:t>
                  </w:r>
                </w:p>
              </w:tc>
              <w:tc>
                <w:tcPr>
                  <w:tcW w:w="1830" w:type="dxa"/>
                  <w:tcBorders>
                    <w:top w:val="nil"/>
                    <w:left w:val="nil"/>
                    <w:bottom w:val="nil"/>
                    <w:right w:val="nil"/>
                  </w:tcBorders>
                  <w:shd w:val="clear" w:color="auto" w:fill="auto"/>
                  <w:noWrap/>
                  <w:vAlign w:val="bottom"/>
                  <w:hideMark/>
                </w:tcPr>
                <w:p w14:paraId="76582BB5" w14:textId="77777777" w:rsidR="004955EA" w:rsidRPr="004955EA" w:rsidRDefault="004955EA" w:rsidP="00876112">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22.0 (4.5-202.0)</w:t>
                  </w:r>
                </w:p>
              </w:tc>
              <w:tc>
                <w:tcPr>
                  <w:tcW w:w="1713" w:type="dxa"/>
                  <w:tcBorders>
                    <w:top w:val="nil"/>
                    <w:left w:val="nil"/>
                    <w:bottom w:val="nil"/>
                    <w:right w:val="nil"/>
                  </w:tcBorders>
                  <w:shd w:val="clear" w:color="auto" w:fill="auto"/>
                  <w:noWrap/>
                  <w:vAlign w:val="bottom"/>
                  <w:hideMark/>
                </w:tcPr>
                <w:p w14:paraId="2F91BB5C" w14:textId="77777777" w:rsidR="004955EA" w:rsidRPr="004955EA" w:rsidRDefault="004955EA" w:rsidP="00876112">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114.5 (36.5-533.0)</w:t>
                  </w:r>
                </w:p>
              </w:tc>
            </w:tr>
            <w:tr w:rsidR="004955EA" w:rsidRPr="004955EA" w14:paraId="19A42B23" w14:textId="77777777" w:rsidTr="00562646">
              <w:trPr>
                <w:trHeight w:val="300"/>
              </w:trPr>
              <w:tc>
                <w:tcPr>
                  <w:tcW w:w="1560" w:type="dxa"/>
                  <w:tcBorders>
                    <w:top w:val="nil"/>
                    <w:left w:val="nil"/>
                    <w:bottom w:val="nil"/>
                    <w:right w:val="nil"/>
                  </w:tcBorders>
                  <w:shd w:val="clear" w:color="auto" w:fill="auto"/>
                  <w:noWrap/>
                  <w:vAlign w:val="bottom"/>
                  <w:hideMark/>
                </w:tcPr>
                <w:p w14:paraId="5DD8615B" w14:textId="77777777" w:rsidR="004955EA" w:rsidRPr="004955EA" w:rsidRDefault="004955EA" w:rsidP="004955EA">
                  <w:pPr>
                    <w:spacing w:after="0" w:line="240" w:lineRule="auto"/>
                    <w:rPr>
                      <w:rFonts w:ascii="Calibri" w:eastAsia="Times New Roman" w:hAnsi="Calibri" w:cs="Times New Roman"/>
                      <w:b/>
                      <w:bCs/>
                      <w:color w:val="000000"/>
                      <w:lang w:eastAsia="en-GB"/>
                    </w:rPr>
                  </w:pPr>
                </w:p>
                <w:p w14:paraId="511BBE8B" w14:textId="77777777" w:rsidR="004955EA" w:rsidRPr="004955EA" w:rsidRDefault="004955EA" w:rsidP="004955EA">
                  <w:pPr>
                    <w:spacing w:after="0" w:line="240" w:lineRule="auto"/>
                    <w:rPr>
                      <w:rFonts w:ascii="Calibri" w:eastAsia="Times New Roman" w:hAnsi="Calibri" w:cs="Times New Roman"/>
                      <w:b/>
                      <w:bCs/>
                      <w:color w:val="000000"/>
                      <w:lang w:eastAsia="en-GB"/>
                    </w:rPr>
                  </w:pPr>
                  <w:proofErr w:type="spellStart"/>
                  <w:r w:rsidRPr="004955EA">
                    <w:rPr>
                      <w:rFonts w:ascii="Calibri" w:eastAsia="Times New Roman" w:hAnsi="Calibri" w:cs="Times New Roman"/>
                      <w:b/>
                      <w:bCs/>
                      <w:color w:val="000000"/>
                      <w:lang w:eastAsia="en-GB"/>
                    </w:rPr>
                    <w:t>mGy</w:t>
                  </w:r>
                  <w:proofErr w:type="spellEnd"/>
                  <w:r w:rsidRPr="004955EA">
                    <w:rPr>
                      <w:rFonts w:ascii="Calibri" w:eastAsia="Times New Roman" w:hAnsi="Calibri" w:cs="Times New Roman"/>
                      <w:b/>
                      <w:bCs/>
                      <w:color w:val="000000"/>
                      <w:lang w:eastAsia="en-GB"/>
                    </w:rPr>
                    <w:t>/m2</w:t>
                  </w:r>
                </w:p>
              </w:tc>
              <w:tc>
                <w:tcPr>
                  <w:tcW w:w="1984" w:type="dxa"/>
                  <w:tcBorders>
                    <w:top w:val="nil"/>
                    <w:left w:val="nil"/>
                    <w:bottom w:val="nil"/>
                    <w:right w:val="nil"/>
                  </w:tcBorders>
                  <w:shd w:val="clear" w:color="auto" w:fill="auto"/>
                  <w:noWrap/>
                  <w:vAlign w:val="bottom"/>
                  <w:hideMark/>
                </w:tcPr>
                <w:p w14:paraId="3069B636"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0.2 (0.01-1.9)</w:t>
                  </w:r>
                </w:p>
              </w:tc>
              <w:tc>
                <w:tcPr>
                  <w:tcW w:w="1985" w:type="dxa"/>
                  <w:tcBorders>
                    <w:top w:val="nil"/>
                    <w:left w:val="nil"/>
                    <w:bottom w:val="nil"/>
                    <w:right w:val="nil"/>
                  </w:tcBorders>
                  <w:shd w:val="clear" w:color="auto" w:fill="auto"/>
                  <w:noWrap/>
                  <w:vAlign w:val="bottom"/>
                  <w:hideMark/>
                </w:tcPr>
                <w:p w14:paraId="627FF5AE"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0.2 (0.009-2.4)</w:t>
                  </w:r>
                </w:p>
              </w:tc>
              <w:tc>
                <w:tcPr>
                  <w:tcW w:w="1830" w:type="dxa"/>
                  <w:tcBorders>
                    <w:top w:val="nil"/>
                    <w:left w:val="nil"/>
                    <w:bottom w:val="nil"/>
                    <w:right w:val="nil"/>
                  </w:tcBorders>
                  <w:shd w:val="clear" w:color="auto" w:fill="auto"/>
                  <w:noWrap/>
                  <w:vAlign w:val="bottom"/>
                  <w:hideMark/>
                </w:tcPr>
                <w:p w14:paraId="6200F9A9"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0.6 (0.1-6.6)</w:t>
                  </w:r>
                </w:p>
              </w:tc>
              <w:tc>
                <w:tcPr>
                  <w:tcW w:w="1713" w:type="dxa"/>
                  <w:tcBorders>
                    <w:top w:val="nil"/>
                    <w:left w:val="nil"/>
                    <w:bottom w:val="nil"/>
                    <w:right w:val="nil"/>
                  </w:tcBorders>
                  <w:shd w:val="clear" w:color="auto" w:fill="auto"/>
                  <w:noWrap/>
                  <w:vAlign w:val="bottom"/>
                  <w:hideMark/>
                </w:tcPr>
                <w:p w14:paraId="5A76C659"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1.5 (0.5-17.3)</w:t>
                  </w:r>
                </w:p>
              </w:tc>
            </w:tr>
            <w:tr w:rsidR="004955EA" w:rsidRPr="004955EA" w14:paraId="754E16B6" w14:textId="77777777" w:rsidTr="00562646">
              <w:trPr>
                <w:trHeight w:val="300"/>
              </w:trPr>
              <w:tc>
                <w:tcPr>
                  <w:tcW w:w="1560" w:type="dxa"/>
                  <w:tcBorders>
                    <w:top w:val="nil"/>
                    <w:left w:val="nil"/>
                    <w:bottom w:val="nil"/>
                    <w:right w:val="nil"/>
                  </w:tcBorders>
                  <w:shd w:val="clear" w:color="auto" w:fill="auto"/>
                  <w:noWrap/>
                  <w:vAlign w:val="bottom"/>
                  <w:hideMark/>
                </w:tcPr>
                <w:p w14:paraId="4A179948" w14:textId="77777777" w:rsidR="004955EA" w:rsidRPr="004955EA" w:rsidRDefault="004955EA" w:rsidP="004955EA">
                  <w:pPr>
                    <w:spacing w:after="0" w:line="240" w:lineRule="auto"/>
                    <w:rPr>
                      <w:rFonts w:ascii="Calibri" w:eastAsia="Times New Roman" w:hAnsi="Calibri" w:cs="Times New Roman"/>
                      <w:b/>
                      <w:bCs/>
                      <w:color w:val="000000"/>
                      <w:lang w:eastAsia="en-GB"/>
                    </w:rPr>
                  </w:pPr>
                </w:p>
                <w:p w14:paraId="06604882" w14:textId="77777777" w:rsidR="004955EA" w:rsidRPr="004955EA" w:rsidRDefault="004955EA" w:rsidP="004955EA">
                  <w:pPr>
                    <w:spacing w:after="0" w:line="240" w:lineRule="auto"/>
                    <w:rPr>
                      <w:rFonts w:ascii="Calibri" w:eastAsia="Times New Roman" w:hAnsi="Calibri" w:cs="Times New Roman"/>
                      <w:b/>
                      <w:bCs/>
                      <w:color w:val="000000"/>
                      <w:lang w:eastAsia="en-GB"/>
                    </w:rPr>
                  </w:pPr>
                  <w:r w:rsidRPr="004955EA">
                    <w:rPr>
                      <w:rFonts w:ascii="Calibri" w:eastAsia="Times New Roman" w:hAnsi="Calibri" w:cs="Times New Roman"/>
                      <w:b/>
                      <w:bCs/>
                      <w:color w:val="000000"/>
                      <w:lang w:eastAsia="en-GB"/>
                    </w:rPr>
                    <w:t>Screening Time (mins)</w:t>
                  </w:r>
                </w:p>
              </w:tc>
              <w:tc>
                <w:tcPr>
                  <w:tcW w:w="1984" w:type="dxa"/>
                  <w:tcBorders>
                    <w:top w:val="nil"/>
                    <w:left w:val="nil"/>
                    <w:bottom w:val="nil"/>
                    <w:right w:val="nil"/>
                  </w:tcBorders>
                  <w:shd w:val="clear" w:color="auto" w:fill="auto"/>
                  <w:noWrap/>
                  <w:vAlign w:val="bottom"/>
                  <w:hideMark/>
                </w:tcPr>
                <w:p w14:paraId="36CA658A"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 xml:space="preserve">0.6 (0.1-5.0) </w:t>
                  </w:r>
                </w:p>
              </w:tc>
              <w:tc>
                <w:tcPr>
                  <w:tcW w:w="1985" w:type="dxa"/>
                  <w:tcBorders>
                    <w:top w:val="nil"/>
                    <w:left w:val="nil"/>
                    <w:bottom w:val="nil"/>
                    <w:right w:val="nil"/>
                  </w:tcBorders>
                  <w:shd w:val="clear" w:color="auto" w:fill="auto"/>
                  <w:noWrap/>
                  <w:vAlign w:val="bottom"/>
                  <w:hideMark/>
                </w:tcPr>
                <w:p w14:paraId="0DA62F76"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0.9 (0.00-3.60)</w:t>
                  </w:r>
                </w:p>
              </w:tc>
              <w:tc>
                <w:tcPr>
                  <w:tcW w:w="1830" w:type="dxa"/>
                  <w:tcBorders>
                    <w:top w:val="nil"/>
                    <w:left w:val="nil"/>
                    <w:bottom w:val="nil"/>
                    <w:right w:val="nil"/>
                  </w:tcBorders>
                  <w:shd w:val="clear" w:color="auto" w:fill="auto"/>
                  <w:noWrap/>
                  <w:vAlign w:val="bottom"/>
                  <w:hideMark/>
                </w:tcPr>
                <w:p w14:paraId="3B776A8E"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2.0 (0.2-16.5)</w:t>
                  </w:r>
                </w:p>
              </w:tc>
              <w:tc>
                <w:tcPr>
                  <w:tcW w:w="1713" w:type="dxa"/>
                  <w:tcBorders>
                    <w:top w:val="nil"/>
                    <w:left w:val="nil"/>
                    <w:bottom w:val="nil"/>
                    <w:right w:val="nil"/>
                  </w:tcBorders>
                  <w:shd w:val="clear" w:color="auto" w:fill="auto"/>
                  <w:noWrap/>
                  <w:vAlign w:val="bottom"/>
                  <w:hideMark/>
                </w:tcPr>
                <w:p w14:paraId="6F3F9543" w14:textId="77777777" w:rsidR="004955EA" w:rsidRPr="004955EA" w:rsidRDefault="004955EA" w:rsidP="004955EA">
                  <w:pPr>
                    <w:spacing w:after="0" w:line="240" w:lineRule="auto"/>
                    <w:rPr>
                      <w:rFonts w:ascii="Calibri" w:eastAsia="Times New Roman" w:hAnsi="Calibri" w:cs="Times New Roman"/>
                      <w:color w:val="000000"/>
                      <w:lang w:eastAsia="en-GB"/>
                    </w:rPr>
                  </w:pPr>
                  <w:r w:rsidRPr="004955EA">
                    <w:rPr>
                      <w:rFonts w:ascii="Calibri" w:eastAsia="Times New Roman" w:hAnsi="Calibri" w:cs="Times New Roman"/>
                      <w:color w:val="000000"/>
                      <w:lang w:eastAsia="en-GB"/>
                    </w:rPr>
                    <w:t>8.1 (3.4-31.0)</w:t>
                  </w:r>
                </w:p>
              </w:tc>
            </w:tr>
          </w:tbl>
          <w:p w14:paraId="188E9C8B" w14:textId="77777777" w:rsidR="00876112" w:rsidRPr="004955EA" w:rsidRDefault="00876112" w:rsidP="004955EA">
            <w:pPr>
              <w:spacing w:after="0" w:line="240" w:lineRule="auto"/>
              <w:rPr>
                <w:rFonts w:ascii="Calibri" w:eastAsia="Calibri" w:hAnsi="Calibri" w:cs="Times New Roman"/>
              </w:rPr>
            </w:pPr>
          </w:p>
          <w:p w14:paraId="199B3E5B"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rPr>
              <w:t xml:space="preserve">(further analysis available on stone size, </w:t>
            </w:r>
            <w:proofErr w:type="spellStart"/>
            <w:r w:rsidRPr="004955EA">
              <w:rPr>
                <w:rFonts w:ascii="Calibri" w:eastAsia="Calibri" w:hAnsi="Calibri" w:cs="Times New Roman"/>
              </w:rPr>
              <w:t>Guys’score</w:t>
            </w:r>
            <w:proofErr w:type="spellEnd"/>
            <w:r w:rsidRPr="004955EA">
              <w:rPr>
                <w:rFonts w:ascii="Calibri" w:eastAsia="Calibri" w:hAnsi="Calibri" w:cs="Times New Roman"/>
              </w:rPr>
              <w:t>, emergency vs. elective etc.)</w:t>
            </w:r>
          </w:p>
        </w:tc>
      </w:tr>
      <w:tr w:rsidR="004955EA" w:rsidRPr="004955EA" w14:paraId="2D0ED859"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5673A1B1" w14:textId="77777777" w:rsidR="004955EA" w:rsidRPr="004955EA" w:rsidRDefault="004955EA" w:rsidP="004955EA">
            <w:pPr>
              <w:spacing w:after="0" w:line="240" w:lineRule="auto"/>
              <w:rPr>
                <w:rFonts w:ascii="Calibri" w:eastAsia="Calibri" w:hAnsi="Calibri" w:cs="Times New Roman"/>
              </w:rPr>
            </w:pPr>
            <w:r w:rsidRPr="004955EA">
              <w:rPr>
                <w:rFonts w:ascii="Calibri" w:eastAsia="Calibri" w:hAnsi="Calibri" w:cs="Times New Roman"/>
                <w:b/>
              </w:rPr>
              <w:t>Conclusion</w:t>
            </w:r>
            <w:r w:rsidRPr="004955EA">
              <w:rPr>
                <w:rFonts w:ascii="Calibri" w:eastAsia="Calibri" w:hAnsi="Calibri" w:cs="Times New Roman"/>
              </w:rPr>
              <w:t>: Despite the relative heterogeneity of our sample there appears to be very wide variance in radiation doses and screening times even for what would seem to be very similar procedures, indicating technical variations between surgeons. Nonetheless this study establishes much needed baseline data. Our next aim will be to repeat this study on a larger scale and to introduce a number of measures (which will be discussed at presentation) to reduce overall radiation exposure and improve our measurement of same.</w:t>
            </w:r>
          </w:p>
        </w:tc>
      </w:tr>
    </w:tbl>
    <w:p w14:paraId="7A31D35B" w14:textId="676C04DD" w:rsidR="00FD3E6E" w:rsidRDefault="00FD3E6E" w:rsidP="00FD3E6E">
      <w:pPr>
        <w:spacing w:after="0" w:line="240" w:lineRule="auto"/>
        <w:rPr>
          <w:b/>
          <w:sz w:val="24"/>
          <w:szCs w:val="24"/>
        </w:rPr>
      </w:pPr>
    </w:p>
    <w:p w14:paraId="3603799D" w14:textId="3E5D4205" w:rsidR="00876112" w:rsidRDefault="00876112" w:rsidP="00FD3E6E">
      <w:pPr>
        <w:spacing w:after="0" w:line="240" w:lineRule="auto"/>
        <w:rPr>
          <w:b/>
          <w:sz w:val="24"/>
          <w:szCs w:val="24"/>
        </w:rPr>
      </w:pPr>
    </w:p>
    <w:p w14:paraId="1ABA8652" w14:textId="00BFBCBA" w:rsidR="00876112" w:rsidRDefault="00876112" w:rsidP="00FD3E6E">
      <w:pPr>
        <w:spacing w:after="0" w:line="240" w:lineRule="auto"/>
        <w:rPr>
          <w:b/>
          <w:sz w:val="24"/>
          <w:szCs w:val="24"/>
        </w:rPr>
      </w:pPr>
    </w:p>
    <w:p w14:paraId="56B7E33E" w14:textId="679599CA" w:rsidR="00876112" w:rsidRDefault="00876112" w:rsidP="00FD3E6E">
      <w:pPr>
        <w:spacing w:after="0" w:line="240" w:lineRule="auto"/>
        <w:rPr>
          <w:b/>
          <w:sz w:val="24"/>
          <w:szCs w:val="24"/>
        </w:rPr>
      </w:pPr>
    </w:p>
    <w:p w14:paraId="7139BEA2" w14:textId="4F534E67" w:rsidR="00876112" w:rsidRDefault="00876112" w:rsidP="00FD3E6E">
      <w:pPr>
        <w:spacing w:after="0" w:line="240" w:lineRule="auto"/>
        <w:rPr>
          <w:b/>
          <w:sz w:val="24"/>
          <w:szCs w:val="24"/>
        </w:rPr>
      </w:pPr>
    </w:p>
    <w:p w14:paraId="49F3A181" w14:textId="2287B4C5" w:rsidR="00876112" w:rsidRDefault="00876112" w:rsidP="00FD3E6E">
      <w:pPr>
        <w:spacing w:after="0" w:line="240" w:lineRule="auto"/>
        <w:rPr>
          <w:b/>
          <w:sz w:val="24"/>
          <w:szCs w:val="24"/>
        </w:rPr>
      </w:pPr>
    </w:p>
    <w:p w14:paraId="4B2EBA6A" w14:textId="5AB24DF9" w:rsidR="00876112" w:rsidRDefault="00876112" w:rsidP="00FD3E6E">
      <w:pPr>
        <w:spacing w:after="0" w:line="240" w:lineRule="auto"/>
        <w:rPr>
          <w:b/>
          <w:sz w:val="24"/>
          <w:szCs w:val="24"/>
        </w:rPr>
      </w:pPr>
    </w:p>
    <w:p w14:paraId="05661EA8" w14:textId="39B2B44D" w:rsidR="00876112" w:rsidRDefault="00876112" w:rsidP="00FD3E6E">
      <w:pPr>
        <w:spacing w:after="0" w:line="240" w:lineRule="auto"/>
        <w:rPr>
          <w:b/>
          <w:sz w:val="24"/>
          <w:szCs w:val="24"/>
        </w:rPr>
      </w:pPr>
    </w:p>
    <w:p w14:paraId="17BBBA54" w14:textId="17E7DF84" w:rsidR="00876112" w:rsidRDefault="00876112" w:rsidP="00FD3E6E">
      <w:pPr>
        <w:spacing w:after="0" w:line="240" w:lineRule="auto"/>
        <w:rPr>
          <w:b/>
          <w:sz w:val="24"/>
          <w:szCs w:val="24"/>
        </w:rPr>
      </w:pPr>
    </w:p>
    <w:p w14:paraId="35768ADE" w14:textId="1FBA3E2B" w:rsidR="00876112" w:rsidRDefault="00876112" w:rsidP="00FD3E6E">
      <w:pPr>
        <w:spacing w:after="0" w:line="240" w:lineRule="auto"/>
        <w:rPr>
          <w:b/>
          <w:sz w:val="24"/>
          <w:szCs w:val="24"/>
        </w:rPr>
      </w:pPr>
    </w:p>
    <w:p w14:paraId="46EFB117" w14:textId="7469A568" w:rsidR="00876112" w:rsidRDefault="00876112" w:rsidP="00FD3E6E">
      <w:pPr>
        <w:spacing w:after="0" w:line="240" w:lineRule="auto"/>
        <w:rPr>
          <w:b/>
          <w:sz w:val="24"/>
          <w:szCs w:val="24"/>
        </w:rPr>
      </w:pPr>
    </w:p>
    <w:p w14:paraId="13FB6FC2" w14:textId="2FFB2B63" w:rsidR="00876112" w:rsidRDefault="00876112" w:rsidP="00FD3E6E">
      <w:pPr>
        <w:spacing w:after="0" w:line="240" w:lineRule="auto"/>
        <w:rPr>
          <w:b/>
          <w:sz w:val="24"/>
          <w:szCs w:val="24"/>
        </w:rPr>
      </w:pPr>
    </w:p>
    <w:p w14:paraId="51BC3A7F" w14:textId="3D1D098E" w:rsidR="00876112" w:rsidRDefault="00876112" w:rsidP="00FD3E6E">
      <w:pPr>
        <w:spacing w:after="0" w:line="240" w:lineRule="auto"/>
        <w:rPr>
          <w:b/>
          <w:sz w:val="24"/>
          <w:szCs w:val="24"/>
        </w:rPr>
      </w:pPr>
    </w:p>
    <w:p w14:paraId="1E046A40" w14:textId="2A6CCEAD" w:rsidR="00876112" w:rsidRDefault="00876112" w:rsidP="00FD3E6E">
      <w:pPr>
        <w:spacing w:after="0" w:line="240" w:lineRule="auto"/>
        <w:rPr>
          <w:b/>
          <w:sz w:val="24"/>
          <w:szCs w:val="24"/>
        </w:rPr>
      </w:pPr>
    </w:p>
    <w:p w14:paraId="2B4189E2" w14:textId="0C535E13" w:rsidR="00876112" w:rsidRDefault="00876112" w:rsidP="00FD3E6E">
      <w:pPr>
        <w:spacing w:after="0" w:line="240" w:lineRule="auto"/>
        <w:rPr>
          <w:b/>
          <w:sz w:val="24"/>
          <w:szCs w:val="24"/>
        </w:rPr>
      </w:pPr>
    </w:p>
    <w:p w14:paraId="754CB080" w14:textId="1A1C2825" w:rsidR="00876112" w:rsidRDefault="00876112" w:rsidP="00FD3E6E">
      <w:pPr>
        <w:spacing w:after="0" w:line="240" w:lineRule="auto"/>
        <w:rPr>
          <w:b/>
          <w:sz w:val="24"/>
          <w:szCs w:val="24"/>
        </w:rPr>
      </w:pPr>
    </w:p>
    <w:p w14:paraId="453CE0D8" w14:textId="4B8A8A4C" w:rsidR="00876112" w:rsidRDefault="00876112" w:rsidP="00FD3E6E">
      <w:pPr>
        <w:spacing w:after="0" w:line="240" w:lineRule="auto"/>
        <w:rPr>
          <w:b/>
          <w:sz w:val="24"/>
          <w:szCs w:val="24"/>
        </w:rPr>
      </w:pPr>
    </w:p>
    <w:p w14:paraId="1CE8588F" w14:textId="189A1C5A" w:rsidR="00876112" w:rsidRDefault="00876112" w:rsidP="00FD3E6E">
      <w:pPr>
        <w:spacing w:after="0" w:line="240" w:lineRule="auto"/>
        <w:rPr>
          <w:b/>
          <w:sz w:val="24"/>
          <w:szCs w:val="24"/>
        </w:rPr>
      </w:pPr>
    </w:p>
    <w:p w14:paraId="6B3E5739" w14:textId="51A51E31" w:rsidR="00876112" w:rsidRDefault="00876112" w:rsidP="00FD3E6E">
      <w:pPr>
        <w:spacing w:after="0" w:line="240" w:lineRule="auto"/>
        <w:rPr>
          <w:b/>
          <w:sz w:val="24"/>
          <w:szCs w:val="24"/>
        </w:rPr>
      </w:pPr>
    </w:p>
    <w:p w14:paraId="46841AA3" w14:textId="54FEBB13" w:rsidR="00876112" w:rsidRDefault="00876112" w:rsidP="00FD3E6E">
      <w:pPr>
        <w:spacing w:after="0" w:line="240" w:lineRule="auto"/>
        <w:rPr>
          <w:b/>
          <w:sz w:val="24"/>
          <w:szCs w:val="24"/>
        </w:rPr>
      </w:pPr>
    </w:p>
    <w:p w14:paraId="4B5BBC44" w14:textId="195259EB" w:rsidR="00876112" w:rsidRDefault="00876112" w:rsidP="00FD3E6E">
      <w:pPr>
        <w:spacing w:after="0" w:line="240" w:lineRule="auto"/>
        <w:rPr>
          <w:b/>
          <w:sz w:val="24"/>
          <w:szCs w:val="24"/>
        </w:rPr>
      </w:pPr>
    </w:p>
    <w:p w14:paraId="07503E5A" w14:textId="77777777" w:rsidR="00876112" w:rsidRDefault="00876112" w:rsidP="00FD3E6E">
      <w:pPr>
        <w:spacing w:after="0" w:line="240" w:lineRule="auto"/>
        <w:rPr>
          <w:b/>
          <w:sz w:val="24"/>
          <w:szCs w:val="24"/>
        </w:rPr>
      </w:pPr>
    </w:p>
    <w:p w14:paraId="4EBB9571" w14:textId="0B1D6021" w:rsidR="00C43F21" w:rsidRDefault="00456D6F" w:rsidP="00FD3E6E">
      <w:pPr>
        <w:spacing w:after="0" w:line="240" w:lineRule="auto"/>
        <w:rPr>
          <w:b/>
        </w:rPr>
      </w:pPr>
      <w:r w:rsidRPr="00FD3E6E">
        <w:rPr>
          <w:b/>
        </w:rPr>
        <w:lastRenderedPageBreak/>
        <w:t>Abstract 4</w:t>
      </w:r>
    </w:p>
    <w:p w14:paraId="00FD81B9" w14:textId="77777777" w:rsidR="00876112" w:rsidRDefault="00876112" w:rsidP="00FD3E6E">
      <w:pPr>
        <w:spacing w:after="0" w:line="240" w:lineRule="auto"/>
        <w:rPr>
          <w:b/>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5589"/>
      </w:tblGrid>
      <w:tr w:rsidR="00C43F21" w:rsidRPr="00C43F21" w14:paraId="28A32E96" w14:textId="77777777" w:rsidTr="00C43F21">
        <w:tc>
          <w:tcPr>
            <w:tcW w:w="5179" w:type="dxa"/>
            <w:tcBorders>
              <w:top w:val="single" w:sz="4" w:space="0" w:color="auto"/>
              <w:left w:val="single" w:sz="4" w:space="0" w:color="auto"/>
              <w:bottom w:val="single" w:sz="4" w:space="0" w:color="auto"/>
              <w:right w:val="single" w:sz="4" w:space="0" w:color="auto"/>
            </w:tcBorders>
          </w:tcPr>
          <w:p w14:paraId="510F4A34"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Name of Presenter</w:t>
            </w:r>
            <w:r w:rsidRPr="00C43F21">
              <w:rPr>
                <w:rFonts w:ascii="Calibri" w:eastAsia="Calibri" w:hAnsi="Calibri" w:cs="Times New Roman"/>
              </w:rPr>
              <w:t>:  Mr Ankur Mukherjee</w:t>
            </w:r>
          </w:p>
        </w:tc>
        <w:tc>
          <w:tcPr>
            <w:tcW w:w="5589" w:type="dxa"/>
            <w:tcBorders>
              <w:top w:val="single" w:sz="4" w:space="0" w:color="auto"/>
              <w:left w:val="single" w:sz="4" w:space="0" w:color="auto"/>
              <w:bottom w:val="single" w:sz="4" w:space="0" w:color="auto"/>
              <w:right w:val="single" w:sz="4" w:space="0" w:color="auto"/>
            </w:tcBorders>
            <w:hideMark/>
          </w:tcPr>
          <w:p w14:paraId="529E9411"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Training grade/post</w:t>
            </w:r>
            <w:r w:rsidRPr="00C43F21">
              <w:rPr>
                <w:rFonts w:ascii="Calibri" w:eastAsia="Calibri" w:hAnsi="Calibri" w:cs="Times New Roman"/>
              </w:rPr>
              <w:t>:  ST3</w:t>
            </w:r>
          </w:p>
        </w:tc>
      </w:tr>
      <w:tr w:rsidR="00C43F21" w:rsidRPr="00C43F21" w14:paraId="67B8B958"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173F053D"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Institution</w:t>
            </w:r>
            <w:r w:rsidRPr="00C43F21">
              <w:rPr>
                <w:rFonts w:ascii="Calibri" w:eastAsia="Calibri" w:hAnsi="Calibri" w:cs="Times New Roman"/>
              </w:rPr>
              <w:t>:  Sunderland Royal Hospital</w:t>
            </w:r>
          </w:p>
        </w:tc>
      </w:tr>
      <w:tr w:rsidR="00C43F21" w:rsidRPr="00C43F21" w14:paraId="225ABC01"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34AB4A0C"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Title of Presentation</w:t>
            </w:r>
            <w:r w:rsidRPr="00C43F21">
              <w:rPr>
                <w:rFonts w:ascii="Calibri" w:eastAsia="Calibri" w:hAnsi="Calibri" w:cs="Times New Roman"/>
              </w:rPr>
              <w:t>:</w:t>
            </w:r>
          </w:p>
          <w:p w14:paraId="2A448979"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 xml:space="preserve">Comparison of Urine Cytology with </w:t>
            </w:r>
            <w:proofErr w:type="spellStart"/>
            <w:r w:rsidRPr="00C43F21">
              <w:rPr>
                <w:rFonts w:ascii="Calibri" w:eastAsia="Calibri" w:hAnsi="Calibri" w:cs="Times New Roman"/>
              </w:rPr>
              <w:t>ADXBladder</w:t>
            </w:r>
            <w:proofErr w:type="spellEnd"/>
            <w:r w:rsidRPr="00C43F21">
              <w:rPr>
                <w:rFonts w:ascii="Calibri" w:eastAsia="Calibri" w:hAnsi="Calibri" w:cs="Times New Roman"/>
              </w:rPr>
              <w:t xml:space="preserve"> in the Detection of Recurrent Bladder Cancer</w:t>
            </w:r>
          </w:p>
        </w:tc>
      </w:tr>
      <w:tr w:rsidR="00C43F21" w:rsidRPr="00C43F21" w14:paraId="1206100C"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0DEB2C10"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Authors</w:t>
            </w:r>
            <w:r w:rsidRPr="00C43F21">
              <w:rPr>
                <w:rFonts w:ascii="Calibri" w:eastAsia="Calibri" w:hAnsi="Calibri" w:cs="Times New Roman"/>
              </w:rPr>
              <w:t xml:space="preserve">:  Mukherjee A, Stockley J, Johnson M, Mom J, </w:t>
            </w:r>
            <w:proofErr w:type="spellStart"/>
            <w:r w:rsidRPr="00C43F21">
              <w:rPr>
                <w:rFonts w:ascii="Calibri" w:eastAsia="Calibri" w:hAnsi="Calibri" w:cs="Times New Roman"/>
              </w:rPr>
              <w:t>Cresswell</w:t>
            </w:r>
            <w:proofErr w:type="spellEnd"/>
            <w:r w:rsidRPr="00C43F21">
              <w:rPr>
                <w:rFonts w:ascii="Calibri" w:eastAsia="Calibri" w:hAnsi="Calibri" w:cs="Times New Roman"/>
              </w:rPr>
              <w:t xml:space="preserve"> J, McCracken S </w:t>
            </w:r>
          </w:p>
        </w:tc>
      </w:tr>
      <w:tr w:rsidR="00C43F21" w:rsidRPr="00C43F21" w14:paraId="0E0D87DB"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0DA2529C"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Aims</w:t>
            </w:r>
            <w:r w:rsidRPr="00C43F21">
              <w:rPr>
                <w:rFonts w:ascii="Calibri" w:eastAsia="Calibri" w:hAnsi="Calibri" w:cs="Times New Roman"/>
              </w:rPr>
              <w:t>:</w:t>
            </w:r>
          </w:p>
          <w:p w14:paraId="2747F1A1"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MCM5 expression is restricted to the basal proliferative compartment in normal urothelium, but in urothelial carcinomas, MCM5 is expressed in all layers of the urothelium. This results in the exfoliation of MCM5-expressing tumour cells into the urine. Our aim was to assess the performance of ADXBLADDER in the detection of NMIBC recurrence.</w:t>
            </w:r>
          </w:p>
        </w:tc>
      </w:tr>
      <w:tr w:rsidR="00C43F21" w:rsidRPr="00C43F21" w14:paraId="3F7CB1A9"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38219248"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Methods</w:t>
            </w:r>
            <w:r w:rsidRPr="00C43F21">
              <w:rPr>
                <w:rFonts w:ascii="Calibri" w:eastAsia="Calibri" w:hAnsi="Calibri" w:cs="Times New Roman"/>
              </w:rPr>
              <w:t>:</w:t>
            </w:r>
          </w:p>
          <w:p w14:paraId="7AF5B70F"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A multicentre prospective, double-blinded, cohort study was carried out between August 2017 and July 2019 at 21 centres across Europe.</w:t>
            </w:r>
          </w:p>
        </w:tc>
      </w:tr>
      <w:tr w:rsidR="00C43F21" w:rsidRPr="00C43F21" w14:paraId="5C893DF6"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2DB879EF"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Results</w:t>
            </w:r>
            <w:r w:rsidRPr="00C43F21">
              <w:rPr>
                <w:rFonts w:ascii="Calibri" w:eastAsia="Calibri" w:hAnsi="Calibri" w:cs="Times New Roman"/>
              </w:rPr>
              <w:t>:</w:t>
            </w:r>
          </w:p>
          <w:p w14:paraId="192AA1FD"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 xml:space="preserve">120/1192 eligible patients enrolled were diagnosed with bladder cancer (10.1% prevalence). Overall sensitivity for ADXBLADDER was 45%, with an 84% sensitivity for non-Low Grade </w:t>
            </w:r>
            <w:proofErr w:type="spellStart"/>
            <w:r w:rsidRPr="00C43F21">
              <w:rPr>
                <w:rFonts w:ascii="Calibri" w:eastAsia="Calibri" w:hAnsi="Calibri" w:cs="Times New Roman"/>
              </w:rPr>
              <w:t>pTa.</w:t>
            </w:r>
            <w:proofErr w:type="spellEnd"/>
            <w:r w:rsidRPr="00C43F21">
              <w:rPr>
                <w:rFonts w:ascii="Calibri" w:eastAsia="Calibri" w:hAnsi="Calibri" w:cs="Times New Roman"/>
              </w:rPr>
              <w:t xml:space="preserve"> Overall NPV was 92%, however ADXBLADDER was able to rule out non-</w:t>
            </w:r>
            <w:proofErr w:type="spellStart"/>
            <w:r w:rsidRPr="00C43F21">
              <w:rPr>
                <w:rFonts w:ascii="Calibri" w:eastAsia="Calibri" w:hAnsi="Calibri" w:cs="Times New Roman"/>
              </w:rPr>
              <w:t>LGpTa</w:t>
            </w:r>
            <w:proofErr w:type="spellEnd"/>
            <w:r w:rsidRPr="00C43F21">
              <w:rPr>
                <w:rFonts w:ascii="Calibri" w:eastAsia="Calibri" w:hAnsi="Calibri" w:cs="Times New Roman"/>
              </w:rPr>
              <w:t xml:space="preserve"> recurrent tumours with a NPV of 99.5%.</w:t>
            </w:r>
          </w:p>
          <w:p w14:paraId="13952A6C"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Matching cytology was performed in 362 patients, of which 39 were diagnosed with bladder cancer. In this population the sensitivity of cytology was 17%. ADXBLADDER detected 17/39 of the tumours, (7/9 non-</w:t>
            </w:r>
            <w:proofErr w:type="spellStart"/>
            <w:r w:rsidRPr="00C43F21">
              <w:rPr>
                <w:rFonts w:ascii="Calibri" w:eastAsia="Calibri" w:hAnsi="Calibri" w:cs="Times New Roman"/>
              </w:rPr>
              <w:t>LGpTa</w:t>
            </w:r>
            <w:proofErr w:type="spellEnd"/>
            <w:r w:rsidRPr="00C43F21">
              <w:rPr>
                <w:rFonts w:ascii="Calibri" w:eastAsia="Calibri" w:hAnsi="Calibri" w:cs="Times New Roman"/>
              </w:rPr>
              <w:t xml:space="preserve"> tumours) whilst cytology detected only 5/39 (1/9 non-</w:t>
            </w:r>
            <w:proofErr w:type="spellStart"/>
            <w:r w:rsidRPr="00C43F21">
              <w:rPr>
                <w:rFonts w:ascii="Calibri" w:eastAsia="Calibri" w:hAnsi="Calibri" w:cs="Times New Roman"/>
              </w:rPr>
              <w:t>LGpTa</w:t>
            </w:r>
            <w:proofErr w:type="spellEnd"/>
            <w:r w:rsidRPr="00C43F21">
              <w:rPr>
                <w:rFonts w:ascii="Calibri" w:eastAsia="Calibri" w:hAnsi="Calibri" w:cs="Times New Roman"/>
              </w:rPr>
              <w:t xml:space="preserve"> tumours.  All tumours detected by cytology were detected by ADXBLADDER.</w:t>
            </w:r>
          </w:p>
        </w:tc>
      </w:tr>
      <w:tr w:rsidR="00C43F21" w:rsidRPr="00C43F21" w14:paraId="6B00B77C" w14:textId="77777777" w:rsidTr="00273473">
        <w:trPr>
          <w:trHeight w:val="734"/>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181AE035"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Conclusion</w:t>
            </w:r>
            <w:r w:rsidRPr="00C43F21">
              <w:rPr>
                <w:rFonts w:ascii="Calibri" w:eastAsia="Calibri" w:hAnsi="Calibri" w:cs="Times New Roman"/>
              </w:rPr>
              <w:t>:</w:t>
            </w:r>
          </w:p>
          <w:p w14:paraId="5A1822ED"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ADXBLADDER can detect recurrent bladder cancer tumours in the follow up of bladder cancer, with a particularly high sensitivity for non-</w:t>
            </w:r>
            <w:proofErr w:type="spellStart"/>
            <w:r w:rsidRPr="00C43F21">
              <w:rPr>
                <w:rFonts w:ascii="Calibri" w:eastAsia="Calibri" w:hAnsi="Calibri" w:cs="Times New Roman"/>
              </w:rPr>
              <w:t>LGpTa</w:t>
            </w:r>
            <w:proofErr w:type="spellEnd"/>
            <w:r w:rsidRPr="00C43F21">
              <w:rPr>
                <w:rFonts w:ascii="Calibri" w:eastAsia="Calibri" w:hAnsi="Calibri" w:cs="Times New Roman"/>
              </w:rPr>
              <w:t xml:space="preserve"> tumours. These results demonstrate the superiority of ADXBLADDER when compared to cytology.</w:t>
            </w:r>
          </w:p>
        </w:tc>
      </w:tr>
    </w:tbl>
    <w:p w14:paraId="0EF59CDA" w14:textId="77777777" w:rsidR="00FD3E6E" w:rsidRPr="00FD3E6E" w:rsidRDefault="00FD3E6E" w:rsidP="00FD3E6E">
      <w:pPr>
        <w:spacing w:after="0" w:line="240" w:lineRule="auto"/>
        <w:rPr>
          <w:b/>
        </w:rPr>
      </w:pPr>
    </w:p>
    <w:p w14:paraId="664E733E" w14:textId="77777777" w:rsidR="00624259" w:rsidRDefault="00456D6F">
      <w:pPr>
        <w:rPr>
          <w:b/>
          <w:sz w:val="24"/>
          <w:szCs w:val="24"/>
        </w:rPr>
      </w:pPr>
      <w:r>
        <w:rPr>
          <w:b/>
          <w:sz w:val="24"/>
          <w:szCs w:val="24"/>
        </w:rPr>
        <w:t xml:space="preserve">Abstract </w:t>
      </w:r>
      <w:r w:rsidR="00624259" w:rsidRPr="00624259">
        <w:rPr>
          <w:b/>
          <w:sz w:val="24"/>
          <w:szCs w:val="24"/>
        </w:rPr>
        <w:t>5</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5590"/>
      </w:tblGrid>
      <w:tr w:rsidR="00C43F21" w:rsidRPr="00C43F21" w14:paraId="719277B2" w14:textId="77777777" w:rsidTr="00C43F21">
        <w:tc>
          <w:tcPr>
            <w:tcW w:w="5178" w:type="dxa"/>
            <w:tcBorders>
              <w:top w:val="single" w:sz="4" w:space="0" w:color="auto"/>
              <w:left w:val="single" w:sz="4" w:space="0" w:color="auto"/>
              <w:bottom w:val="single" w:sz="4" w:space="0" w:color="auto"/>
              <w:right w:val="single" w:sz="4" w:space="0" w:color="auto"/>
            </w:tcBorders>
          </w:tcPr>
          <w:p w14:paraId="771E5991"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Name of Presenter</w:t>
            </w:r>
            <w:r w:rsidRPr="00C43F21">
              <w:rPr>
                <w:rFonts w:ascii="Calibri" w:eastAsia="Calibri" w:hAnsi="Calibri" w:cs="Times New Roman"/>
              </w:rPr>
              <w:t xml:space="preserve">:  Katrina </w:t>
            </w:r>
            <w:proofErr w:type="spellStart"/>
            <w:r w:rsidRPr="00C43F21">
              <w:rPr>
                <w:rFonts w:ascii="Calibri" w:eastAsia="Calibri" w:hAnsi="Calibri" w:cs="Times New Roman"/>
              </w:rPr>
              <w:t>Sodzi</w:t>
            </w:r>
            <w:proofErr w:type="spellEnd"/>
            <w:r w:rsidRPr="00C43F21">
              <w:rPr>
                <w:rFonts w:ascii="Calibri" w:eastAsia="Calibri" w:hAnsi="Calibri" w:cs="Times New Roman"/>
              </w:rPr>
              <w:t xml:space="preserve"> </w:t>
            </w:r>
          </w:p>
        </w:tc>
        <w:tc>
          <w:tcPr>
            <w:tcW w:w="5590" w:type="dxa"/>
            <w:tcBorders>
              <w:top w:val="single" w:sz="4" w:space="0" w:color="auto"/>
              <w:left w:val="single" w:sz="4" w:space="0" w:color="auto"/>
              <w:bottom w:val="single" w:sz="4" w:space="0" w:color="auto"/>
              <w:right w:val="single" w:sz="4" w:space="0" w:color="auto"/>
            </w:tcBorders>
            <w:hideMark/>
          </w:tcPr>
          <w:p w14:paraId="625F0011"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Training grade/post</w:t>
            </w:r>
            <w:r w:rsidRPr="00C43F21">
              <w:rPr>
                <w:rFonts w:ascii="Calibri" w:eastAsia="Calibri" w:hAnsi="Calibri" w:cs="Times New Roman"/>
              </w:rPr>
              <w:t>:   F2</w:t>
            </w:r>
          </w:p>
        </w:tc>
      </w:tr>
      <w:tr w:rsidR="00C43F21" w:rsidRPr="00C43F21" w14:paraId="70FD385C"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1B06DA9B"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Institution</w:t>
            </w:r>
            <w:r w:rsidRPr="00C43F21">
              <w:rPr>
                <w:rFonts w:ascii="Calibri" w:eastAsia="Calibri" w:hAnsi="Calibri" w:cs="Times New Roman"/>
              </w:rPr>
              <w:t>:  Freeman Hospital</w:t>
            </w:r>
          </w:p>
        </w:tc>
      </w:tr>
      <w:tr w:rsidR="00C43F21" w:rsidRPr="00C43F21" w14:paraId="5B3892FA"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3D680946"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Title of Presentation</w:t>
            </w:r>
            <w:r w:rsidRPr="00C43F21">
              <w:rPr>
                <w:rFonts w:ascii="Calibri" w:eastAsia="Calibri" w:hAnsi="Calibri" w:cs="Times New Roman"/>
              </w:rPr>
              <w:t>:  Audit of retention pathway using HOLEP : an analysis of outcomes</w:t>
            </w:r>
          </w:p>
        </w:tc>
      </w:tr>
      <w:tr w:rsidR="00C43F21" w:rsidRPr="00C43F21" w14:paraId="4705E59B" w14:textId="77777777" w:rsidTr="00C43F21">
        <w:tc>
          <w:tcPr>
            <w:tcW w:w="10768" w:type="dxa"/>
            <w:gridSpan w:val="2"/>
            <w:tcBorders>
              <w:top w:val="single" w:sz="4" w:space="0" w:color="auto"/>
              <w:left w:val="single" w:sz="4" w:space="0" w:color="auto"/>
              <w:bottom w:val="single" w:sz="4" w:space="0" w:color="auto"/>
              <w:right w:val="single" w:sz="4" w:space="0" w:color="auto"/>
            </w:tcBorders>
          </w:tcPr>
          <w:p w14:paraId="246B64C7"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Authors</w:t>
            </w:r>
            <w:r w:rsidRPr="00C43F21">
              <w:rPr>
                <w:rFonts w:ascii="Calibri" w:eastAsia="Calibri" w:hAnsi="Calibri" w:cs="Times New Roman"/>
              </w:rPr>
              <w:t xml:space="preserve">: </w:t>
            </w:r>
            <w:proofErr w:type="spellStart"/>
            <w:r w:rsidRPr="00C43F21">
              <w:rPr>
                <w:rFonts w:ascii="Calibri" w:eastAsia="Calibri" w:hAnsi="Calibri" w:cs="Times New Roman"/>
              </w:rPr>
              <w:t>Sodzi</w:t>
            </w:r>
            <w:proofErr w:type="spellEnd"/>
            <w:r w:rsidRPr="00C43F21">
              <w:rPr>
                <w:rFonts w:ascii="Calibri" w:eastAsia="Calibri" w:hAnsi="Calibri" w:cs="Times New Roman"/>
              </w:rPr>
              <w:t xml:space="preserve"> K, Fowler W, Mukherjee A, Page T, Veeratterapillay R</w:t>
            </w:r>
          </w:p>
        </w:tc>
      </w:tr>
      <w:tr w:rsidR="00C43F21" w:rsidRPr="00C43F21" w14:paraId="0DE4E47D"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484657CE"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Aims</w:t>
            </w:r>
            <w:r w:rsidRPr="00C43F21">
              <w:rPr>
                <w:rFonts w:ascii="Calibri" w:eastAsia="Calibri" w:hAnsi="Calibri" w:cs="Times New Roman"/>
              </w:rPr>
              <w:t>:</w:t>
            </w:r>
          </w:p>
          <w:p w14:paraId="4DA35446"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To audit the outcomes of HOLEP in men presenting with urinary retention</w:t>
            </w:r>
          </w:p>
        </w:tc>
      </w:tr>
      <w:tr w:rsidR="00C43F21" w:rsidRPr="00C43F21" w14:paraId="727CF4E3"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211E47D5"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Methods</w:t>
            </w:r>
            <w:r w:rsidRPr="00C43F21">
              <w:rPr>
                <w:rFonts w:ascii="Calibri" w:eastAsia="Calibri" w:hAnsi="Calibri" w:cs="Times New Roman"/>
              </w:rPr>
              <w:t xml:space="preserve">: </w:t>
            </w:r>
          </w:p>
          <w:p w14:paraId="21B6879A"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Following GIRFT report, a new retention pathway (Oct 2017) was designed at Freeman with HOLEP as the definitive modality of surgery in men presenting with acute retention. Retrospective review of all cases undergoing HOLEP on the pathway (Oct 17-Mar19) were reviewed to identify time to surgery, perioperative outcomes, complications and catheter-free rates.</w:t>
            </w:r>
          </w:p>
        </w:tc>
      </w:tr>
      <w:tr w:rsidR="00C43F21" w:rsidRPr="00C43F21" w14:paraId="032B94BA"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3ECB8F6B"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Results</w:t>
            </w:r>
            <w:r w:rsidRPr="00C43F21">
              <w:rPr>
                <w:rFonts w:ascii="Calibri" w:eastAsia="Calibri" w:hAnsi="Calibri" w:cs="Times New Roman"/>
              </w:rPr>
              <w:t xml:space="preserve">: </w:t>
            </w:r>
          </w:p>
          <w:p w14:paraId="2249C587"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 xml:space="preserve">101 patients were included with a median age of 74yrs. 53% had prior LUTS treatment and 72% had a failed TWOC prior to surgery. The median op time was 68min and 91% of cases were done as overnight stay. There were 2 major complications including urosepsis and return to theatre for bleeding. No patients required transfusion. The median resected weight was 61g (41-152). On the first </w:t>
            </w:r>
            <w:proofErr w:type="spellStart"/>
            <w:r w:rsidRPr="00C43F21">
              <w:rPr>
                <w:rFonts w:ascii="Calibri" w:eastAsia="Calibri" w:hAnsi="Calibri" w:cs="Times New Roman"/>
              </w:rPr>
              <w:t>post operative</w:t>
            </w:r>
            <w:proofErr w:type="spellEnd"/>
            <w:r w:rsidRPr="00C43F21">
              <w:rPr>
                <w:rFonts w:ascii="Calibri" w:eastAsia="Calibri" w:hAnsi="Calibri" w:cs="Times New Roman"/>
              </w:rPr>
              <w:t xml:space="preserve"> day, the TWOC success was 81% and this rose to 98% following a second TWOC. The median waiting time to surgery from initial episode of catheterisation was 7 weeks in the first 6 months of the study but fell to 12 weeks in the last 6 months.  At 3 months QOL scores showed patient satisfaction rate of 94%.</w:t>
            </w:r>
          </w:p>
        </w:tc>
      </w:tr>
      <w:tr w:rsidR="00C43F21" w:rsidRPr="00C43F21" w14:paraId="5DA26195" w14:textId="77777777" w:rsidTr="00C43F21">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14:paraId="39F55E64"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b/>
              </w:rPr>
              <w:t>Conclusion</w:t>
            </w:r>
            <w:r w:rsidRPr="00C43F21">
              <w:rPr>
                <w:rFonts w:ascii="Calibri" w:eastAsia="Calibri" w:hAnsi="Calibri" w:cs="Times New Roman"/>
              </w:rPr>
              <w:t xml:space="preserve">: </w:t>
            </w:r>
          </w:p>
          <w:p w14:paraId="1532EC5D" w14:textId="77777777" w:rsidR="00C43F21" w:rsidRPr="00C43F21" w:rsidRDefault="00C43F21" w:rsidP="00C43F21">
            <w:pPr>
              <w:spacing w:after="0" w:line="240" w:lineRule="auto"/>
              <w:rPr>
                <w:rFonts w:ascii="Calibri" w:eastAsia="Calibri" w:hAnsi="Calibri" w:cs="Times New Roman"/>
              </w:rPr>
            </w:pPr>
            <w:r w:rsidRPr="00C43F21">
              <w:rPr>
                <w:rFonts w:ascii="Calibri" w:eastAsia="Calibri" w:hAnsi="Calibri" w:cs="Times New Roman"/>
              </w:rPr>
              <w:t>HOLEP is safe and can be performed with minimal morbidity. In retention patients, catheter free rates of 98% can be achieved.</w:t>
            </w:r>
          </w:p>
        </w:tc>
      </w:tr>
    </w:tbl>
    <w:p w14:paraId="16087741" w14:textId="77777777" w:rsidR="00624259" w:rsidRDefault="00624259"/>
    <w:sectPr w:rsidR="00624259" w:rsidSect="002D751E">
      <w:headerReference w:type="default" r:id="rId8"/>
      <w:pgSz w:w="11906" w:h="16838"/>
      <w:pgMar w:top="144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BE412" w14:textId="77777777" w:rsidR="00632246" w:rsidRDefault="00632246" w:rsidP="00624259">
      <w:pPr>
        <w:spacing w:after="0" w:line="240" w:lineRule="auto"/>
      </w:pPr>
      <w:r>
        <w:separator/>
      </w:r>
    </w:p>
  </w:endnote>
  <w:endnote w:type="continuationSeparator" w:id="0">
    <w:p w14:paraId="7FBB0D45" w14:textId="77777777" w:rsidR="00632246" w:rsidRDefault="00632246" w:rsidP="0062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96D81" w14:textId="77777777" w:rsidR="00632246" w:rsidRDefault="00632246" w:rsidP="00624259">
      <w:pPr>
        <w:spacing w:after="0" w:line="240" w:lineRule="auto"/>
      </w:pPr>
      <w:r>
        <w:separator/>
      </w:r>
    </w:p>
  </w:footnote>
  <w:footnote w:type="continuationSeparator" w:id="0">
    <w:p w14:paraId="0ACC7DA4" w14:textId="77777777" w:rsidR="00632246" w:rsidRDefault="00632246" w:rsidP="00624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87714" w14:textId="77777777" w:rsidR="00624259" w:rsidRDefault="00624259">
    <w:pPr>
      <w:pStyle w:val="Header"/>
    </w:pPr>
    <w:r>
      <w:tab/>
    </w:r>
    <w:r>
      <w:tab/>
    </w:r>
    <w:r>
      <w:rPr>
        <w:noProof/>
        <w:lang w:eastAsia="en-GB"/>
      </w:rPr>
      <w:drawing>
        <wp:inline distT="0" distB="0" distL="0" distR="0" wp14:anchorId="0655018D" wp14:editId="06293500">
          <wp:extent cx="1805050" cy="613516"/>
          <wp:effectExtent l="0" t="0" r="5080" b="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573" cy="6184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59"/>
    <w:rsid w:val="002475B0"/>
    <w:rsid w:val="00273473"/>
    <w:rsid w:val="002D751E"/>
    <w:rsid w:val="00456D6F"/>
    <w:rsid w:val="004955EA"/>
    <w:rsid w:val="005C080D"/>
    <w:rsid w:val="005F3FDE"/>
    <w:rsid w:val="00624259"/>
    <w:rsid w:val="00632246"/>
    <w:rsid w:val="00674DD8"/>
    <w:rsid w:val="00757CD4"/>
    <w:rsid w:val="007A29D3"/>
    <w:rsid w:val="00803EBE"/>
    <w:rsid w:val="00876112"/>
    <w:rsid w:val="00956BAA"/>
    <w:rsid w:val="009D302F"/>
    <w:rsid w:val="00C43F21"/>
    <w:rsid w:val="00CC7A03"/>
    <w:rsid w:val="00E009BF"/>
    <w:rsid w:val="00EA0EA4"/>
    <w:rsid w:val="00F33E9C"/>
    <w:rsid w:val="00F876DE"/>
    <w:rsid w:val="00FD3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EC9C"/>
  <w15:docId w15:val="{702095DE-20CD-48A1-B581-1AE9A091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242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59"/>
  </w:style>
  <w:style w:type="paragraph" w:styleId="Footer">
    <w:name w:val="footer"/>
    <w:basedOn w:val="Normal"/>
    <w:link w:val="FooterChar"/>
    <w:uiPriority w:val="99"/>
    <w:unhideWhenUsed/>
    <w:rsid w:val="00624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59"/>
  </w:style>
  <w:style w:type="paragraph" w:styleId="ListParagraph">
    <w:name w:val="List Paragraph"/>
    <w:basedOn w:val="Normal"/>
    <w:uiPriority w:val="34"/>
    <w:qFormat/>
    <w:rsid w:val="00956BAA"/>
    <w:pPr>
      <w:ind w:left="720"/>
      <w:contextualSpacing/>
    </w:pPr>
  </w:style>
  <w:style w:type="paragraph" w:styleId="BalloonText">
    <w:name w:val="Balloon Text"/>
    <w:basedOn w:val="Normal"/>
    <w:link w:val="BalloonTextChar"/>
    <w:uiPriority w:val="99"/>
    <w:semiHidden/>
    <w:unhideWhenUsed/>
    <w:rsid w:val="00803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EBE"/>
    <w:rPr>
      <w:rFonts w:ascii="Tahoma" w:hAnsi="Tahoma" w:cs="Tahoma"/>
      <w:sz w:val="16"/>
      <w:szCs w:val="16"/>
    </w:rPr>
  </w:style>
  <w:style w:type="table" w:styleId="TableGrid">
    <w:name w:val="Table Grid"/>
    <w:basedOn w:val="TableNormal"/>
    <w:uiPriority w:val="59"/>
    <w:rsid w:val="005C080D"/>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cid:image002.jpg@01D2BD03.4C9EE9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Rogers</dc:creator>
  <cp:lastModifiedBy>Debbie Wood</cp:lastModifiedBy>
  <cp:revision>7</cp:revision>
  <cp:lastPrinted>2019-10-13T16:07:00Z</cp:lastPrinted>
  <dcterms:created xsi:type="dcterms:W3CDTF">2019-10-13T13:46:00Z</dcterms:created>
  <dcterms:modified xsi:type="dcterms:W3CDTF">2019-10-13T17:19:00Z</dcterms:modified>
</cp:coreProperties>
</file>