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2503B" w14:textId="77777777" w:rsidR="00671A83" w:rsidRDefault="00671A83"/>
    <w:p w14:paraId="074CB510" w14:textId="77777777" w:rsidR="00671A83" w:rsidRPr="00671A83" w:rsidRDefault="00671A83" w:rsidP="00671A83"/>
    <w:p w14:paraId="24CAE12F" w14:textId="77777777" w:rsidR="00671A83" w:rsidRPr="00671A83" w:rsidRDefault="00671A83" w:rsidP="00671A83"/>
    <w:p w14:paraId="162D8EA9" w14:textId="77777777" w:rsidR="00671A83" w:rsidRPr="00671A83" w:rsidRDefault="00671A83" w:rsidP="00671A83"/>
    <w:p w14:paraId="6CC6A0EA" w14:textId="77777777" w:rsidR="00671A83" w:rsidRPr="00671A83" w:rsidRDefault="00671A83" w:rsidP="00671A83"/>
    <w:p w14:paraId="1B1821B4" w14:textId="77777777" w:rsidR="00671A83" w:rsidRPr="00671A83" w:rsidRDefault="00671A83" w:rsidP="00671A83"/>
    <w:p w14:paraId="07D1B110" w14:textId="77777777" w:rsidR="00671A83" w:rsidRPr="00671A83" w:rsidRDefault="00671A83" w:rsidP="00671A83"/>
    <w:p w14:paraId="12826EE8" w14:textId="77777777" w:rsidR="00671A83" w:rsidRPr="00671A83" w:rsidRDefault="00671A83" w:rsidP="00671A8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23"/>
        <w:gridCol w:w="4387"/>
      </w:tblGrid>
      <w:tr w:rsidR="00671A83" w:rsidRPr="005C080D" w14:paraId="54E9125D" w14:textId="77777777" w:rsidTr="00A44ECF">
        <w:tc>
          <w:tcPr>
            <w:tcW w:w="5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87AF" w14:textId="77777777" w:rsidR="00671A83" w:rsidRPr="005C080D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Name of Presenter</w:t>
            </w:r>
            <w:r w:rsidRPr="005C080D">
              <w:rPr>
                <w:rFonts w:ascii="Calibri" w:eastAsia="Calibri" w:hAnsi="Calibri" w:cs="Times New Roman"/>
              </w:rPr>
              <w:t xml:space="preserve">: </w:t>
            </w:r>
            <w:r>
              <w:rPr>
                <w:rFonts w:ascii="Calibri" w:eastAsia="Calibri" w:hAnsi="Calibri" w:cs="Times New Roman"/>
              </w:rPr>
              <w:t>Eleanor Whyte</w:t>
            </w:r>
          </w:p>
        </w:tc>
        <w:tc>
          <w:tcPr>
            <w:tcW w:w="5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31066" w14:textId="77777777" w:rsidR="00671A83" w:rsidRPr="005C080D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Training grade/post</w:t>
            </w:r>
            <w:r w:rsidRPr="005C080D">
              <w:rPr>
                <w:rFonts w:ascii="Calibri" w:eastAsia="Calibri" w:hAnsi="Calibri" w:cs="Times New Roman"/>
              </w:rPr>
              <w:t xml:space="preserve">: </w:t>
            </w:r>
            <w:r>
              <w:rPr>
                <w:rFonts w:ascii="Calibri" w:eastAsia="Calibri" w:hAnsi="Calibri" w:cs="Times New Roman"/>
              </w:rPr>
              <w:t>Middle Grade (ST3 equivalent)</w:t>
            </w:r>
          </w:p>
        </w:tc>
      </w:tr>
      <w:tr w:rsidR="00671A83" w:rsidRPr="005C080D" w14:paraId="1971EDA0" w14:textId="77777777" w:rsidTr="00A44ECF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256A0" w14:textId="77777777" w:rsidR="00671A83" w:rsidRPr="005C080D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Institution</w:t>
            </w:r>
            <w:r w:rsidRPr="005C080D">
              <w:rPr>
                <w:rFonts w:ascii="Calibri" w:eastAsia="Calibri" w:hAnsi="Calibri" w:cs="Times New Roman"/>
              </w:rPr>
              <w:t xml:space="preserve">: Sunderland Royal Hospital </w:t>
            </w:r>
          </w:p>
        </w:tc>
      </w:tr>
      <w:tr w:rsidR="00671A83" w:rsidRPr="005C080D" w14:paraId="16719B16" w14:textId="77777777" w:rsidTr="00A44ECF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5E120" w14:textId="77777777" w:rsidR="00C80C4B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Title of Presentation</w:t>
            </w:r>
            <w:r w:rsidRPr="005C080D">
              <w:rPr>
                <w:rFonts w:ascii="Calibri" w:eastAsia="Calibri" w:hAnsi="Calibri" w:cs="Times New Roman"/>
              </w:rPr>
              <w:t>:</w:t>
            </w:r>
          </w:p>
          <w:p w14:paraId="568A65D6" w14:textId="77777777" w:rsidR="00671A83" w:rsidRPr="005C080D" w:rsidRDefault="00BB232E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BB232E">
              <w:rPr>
                <w:rFonts w:ascii="Calibri" w:eastAsia="Calibri" w:hAnsi="Calibri" w:cs="Times New Roman"/>
              </w:rPr>
              <w:t>Making Waves: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BB232E">
              <w:rPr>
                <w:rFonts w:ascii="Calibri" w:eastAsia="Calibri" w:hAnsi="Calibri" w:cs="Times New Roman"/>
              </w:rPr>
              <w:t>A comparison of radiation exposure in rigid ureteroscopy and lithotripsy</w:t>
            </w:r>
          </w:p>
        </w:tc>
      </w:tr>
      <w:tr w:rsidR="00671A83" w:rsidRPr="005C080D" w14:paraId="744D390C" w14:textId="77777777" w:rsidTr="00A44ECF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5464" w14:textId="77777777" w:rsidR="00671A83" w:rsidRPr="005C080D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Authors</w:t>
            </w:r>
            <w:r w:rsidRPr="005C080D">
              <w:rPr>
                <w:rFonts w:ascii="Calibri" w:eastAsia="Calibri" w:hAnsi="Calibri" w:cs="Times New Roman"/>
              </w:rPr>
              <w:t>:</w:t>
            </w:r>
            <w:r w:rsidRPr="00FD3E6E"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Calibri" w:eastAsia="Calibri" w:hAnsi="Calibri" w:cs="Times New Roman"/>
              </w:rPr>
              <w:t xml:space="preserve">Whyte E, O’Hare T, </w:t>
            </w:r>
            <w:r w:rsidR="00BB232E">
              <w:rPr>
                <w:rFonts w:ascii="Calibri" w:eastAsia="Calibri" w:hAnsi="Calibri" w:cs="Times New Roman"/>
              </w:rPr>
              <w:t xml:space="preserve">King A, </w:t>
            </w:r>
            <w:r>
              <w:rPr>
                <w:rFonts w:ascii="Calibri" w:eastAsia="Calibri" w:hAnsi="Calibri" w:cs="Times New Roman"/>
              </w:rPr>
              <w:t>Jenkins B</w:t>
            </w:r>
            <w:r w:rsidR="00BB232E">
              <w:rPr>
                <w:rFonts w:ascii="Calibri" w:eastAsia="Calibri" w:hAnsi="Calibri" w:cs="Times New Roman"/>
              </w:rPr>
              <w:t>, Koo Ng J</w:t>
            </w:r>
          </w:p>
        </w:tc>
      </w:tr>
      <w:tr w:rsidR="00671A83" w:rsidRPr="005C080D" w14:paraId="2DD01CD2" w14:textId="77777777" w:rsidTr="00A44ECF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1926E74" w14:textId="77777777" w:rsidR="00671A83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Aims</w:t>
            </w:r>
            <w:r w:rsidRPr="005C080D">
              <w:rPr>
                <w:rFonts w:ascii="Calibri" w:eastAsia="Calibri" w:hAnsi="Calibri" w:cs="Times New Roman"/>
              </w:rPr>
              <w:t>:</w:t>
            </w:r>
            <w:r>
              <w:rPr>
                <w:rFonts w:ascii="Calibri" w:eastAsia="Calibri" w:hAnsi="Calibri" w:cs="Times New Roman"/>
              </w:rPr>
              <w:t xml:space="preserve"> </w:t>
            </w:r>
          </w:p>
          <w:p w14:paraId="79A443F6" w14:textId="77777777" w:rsidR="00671A83" w:rsidRPr="00BE1FA6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Renal and ureteric calculi are a common presentation to urology</w:t>
            </w:r>
            <w:r w:rsidR="009621E2">
              <w:rPr>
                <w:rFonts w:ascii="Calibri" w:eastAsia="Calibri" w:hAnsi="Calibri" w:cs="Times New Roman"/>
              </w:rPr>
              <w:t xml:space="preserve">. Calculi can </w:t>
            </w:r>
            <w:r>
              <w:rPr>
                <w:rFonts w:ascii="Calibri" w:eastAsia="Calibri" w:hAnsi="Calibri" w:cs="Times New Roman"/>
              </w:rPr>
              <w:t xml:space="preserve">lead to pain, </w:t>
            </w:r>
            <w:r w:rsidR="009621E2">
              <w:rPr>
                <w:rFonts w:ascii="Calibri" w:eastAsia="Calibri" w:hAnsi="Calibri" w:cs="Times New Roman"/>
              </w:rPr>
              <w:t xml:space="preserve">ureteric </w:t>
            </w:r>
            <w:proofErr w:type="gramStart"/>
            <w:r w:rsidR="009621E2">
              <w:rPr>
                <w:rFonts w:ascii="Calibri" w:eastAsia="Calibri" w:hAnsi="Calibri" w:cs="Times New Roman"/>
              </w:rPr>
              <w:t>obstruction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and infection. </w:t>
            </w:r>
            <w:r w:rsidR="00BE1FA6">
              <w:rPr>
                <w:rFonts w:ascii="Calibri" w:eastAsia="Calibri" w:hAnsi="Calibri" w:cs="Times New Roman"/>
              </w:rPr>
              <w:t xml:space="preserve">For the management of stones there </w:t>
            </w:r>
            <w:r w:rsidR="00612590">
              <w:rPr>
                <w:rFonts w:ascii="Calibri" w:eastAsia="Calibri" w:hAnsi="Calibri" w:cs="Times New Roman"/>
              </w:rPr>
              <w:t>are</w:t>
            </w:r>
            <w:r w:rsidR="00BE1FA6">
              <w:rPr>
                <w:rFonts w:ascii="Calibri" w:eastAsia="Calibri" w:hAnsi="Calibri" w:cs="Times New Roman"/>
              </w:rPr>
              <w:t xml:space="preserve"> </w:t>
            </w:r>
            <w:r w:rsidR="00C80C4B">
              <w:rPr>
                <w:rFonts w:ascii="Calibri" w:eastAsia="Calibri" w:hAnsi="Calibri" w:cs="Times New Roman"/>
              </w:rPr>
              <w:t>operative</w:t>
            </w:r>
            <w:r w:rsidR="00BE1FA6">
              <w:rPr>
                <w:rFonts w:ascii="Calibri" w:eastAsia="Calibri" w:hAnsi="Calibri" w:cs="Times New Roman"/>
              </w:rPr>
              <w:t xml:space="preserve"> and non-</w:t>
            </w:r>
            <w:r w:rsidR="00C80C4B">
              <w:rPr>
                <w:rFonts w:ascii="Calibri" w:eastAsia="Calibri" w:hAnsi="Calibri" w:cs="Times New Roman"/>
              </w:rPr>
              <w:t>operative</w:t>
            </w:r>
            <w:r w:rsidR="00BE1FA6">
              <w:rPr>
                <w:rFonts w:ascii="Calibri" w:eastAsia="Calibri" w:hAnsi="Calibri" w:cs="Times New Roman"/>
              </w:rPr>
              <w:t xml:space="preserve"> options in the form of</w:t>
            </w:r>
            <w:r w:rsidR="00612590">
              <w:rPr>
                <w:rFonts w:ascii="Calibri" w:eastAsia="Calibri" w:hAnsi="Calibri" w:cs="Times New Roman"/>
              </w:rPr>
              <w:t xml:space="preserve"> rigid ureteroscopy (RURS) and extracorporeal shockwave lithotripsy (ESWL).  B</w:t>
            </w:r>
            <w:r w:rsidR="00BE1FA6">
              <w:rPr>
                <w:rFonts w:ascii="Calibri" w:eastAsia="Calibri" w:hAnsi="Calibri" w:cs="Times New Roman"/>
              </w:rPr>
              <w:t>oth involve exposure to radiation</w:t>
            </w:r>
            <w:r w:rsidR="00612590">
              <w:rPr>
                <w:rFonts w:ascii="Calibri" w:eastAsia="Calibri" w:hAnsi="Calibri" w:cs="Times New Roman"/>
              </w:rPr>
              <w:t>, which has potentially deleterious health effects, a</w:t>
            </w:r>
            <w:r w:rsidR="00446612">
              <w:rPr>
                <w:rFonts w:ascii="Calibri" w:eastAsia="Calibri" w:hAnsi="Calibri" w:cs="Times New Roman"/>
              </w:rPr>
              <w:t>nd come with their own limitations</w:t>
            </w:r>
            <w:r w:rsidR="00BE1FA6">
              <w:rPr>
                <w:rFonts w:ascii="Calibri" w:eastAsia="Calibri" w:hAnsi="Calibri" w:cs="Times New Roman"/>
              </w:rPr>
              <w:t>. Here we compare t</w:t>
            </w:r>
            <w:r w:rsidR="007F3801">
              <w:rPr>
                <w:rFonts w:ascii="Calibri" w:eastAsia="Calibri" w:hAnsi="Calibri" w:cs="Times New Roman"/>
              </w:rPr>
              <w:t xml:space="preserve">ime and dose of </w:t>
            </w:r>
            <w:r w:rsidR="00BE1FA6">
              <w:rPr>
                <w:rFonts w:ascii="Calibri" w:eastAsia="Calibri" w:hAnsi="Calibri" w:cs="Times New Roman"/>
              </w:rPr>
              <w:t xml:space="preserve">radiation exposure of </w:t>
            </w:r>
            <w:r w:rsidR="00412CB0">
              <w:rPr>
                <w:rFonts w:ascii="Calibri" w:eastAsia="Calibri" w:hAnsi="Calibri" w:cs="Times New Roman"/>
              </w:rPr>
              <w:t xml:space="preserve">RURS and </w:t>
            </w:r>
            <w:r w:rsidR="00612590">
              <w:rPr>
                <w:rFonts w:ascii="Calibri" w:eastAsia="Calibri" w:hAnsi="Calibri" w:cs="Times New Roman"/>
              </w:rPr>
              <w:t>ESWL for ureteric calculi.</w:t>
            </w:r>
          </w:p>
        </w:tc>
      </w:tr>
      <w:tr w:rsidR="00671A83" w:rsidRPr="005C080D" w14:paraId="57B3D5F4" w14:textId="77777777" w:rsidTr="00A44ECF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EE5FDC" w14:textId="77777777" w:rsidR="00671A83" w:rsidRPr="005C080D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Methods</w:t>
            </w:r>
            <w:r w:rsidRPr="005C080D">
              <w:rPr>
                <w:rFonts w:ascii="Calibri" w:eastAsia="Calibri" w:hAnsi="Calibri" w:cs="Times New Roman"/>
              </w:rPr>
              <w:t>:</w:t>
            </w:r>
          </w:p>
          <w:p w14:paraId="0AE03DE9" w14:textId="77777777" w:rsidR="00BD0222" w:rsidRPr="00612590" w:rsidRDefault="00BE1FA6" w:rsidP="006125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Retrospective review 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of RURS and ESWL for ureteric calculi was conducted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at a single site over 3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-y</w:t>
            </w:r>
            <w:r>
              <w:rPr>
                <w:rFonts w:ascii="Calibri" w:eastAsia="Times New Roman" w:hAnsi="Calibri" w:cs="Times New Roman"/>
                <w:color w:val="000000"/>
              </w:rPr>
              <w:t>ear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 xml:space="preserve">s. 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Data 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on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 radiation exposure 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 xml:space="preserve">was compiled </w:t>
            </w:r>
            <w:r>
              <w:rPr>
                <w:rFonts w:ascii="Calibri" w:eastAsia="Times New Roman" w:hAnsi="Calibri" w:cs="Times New Roman"/>
                <w:color w:val="000000"/>
              </w:rPr>
              <w:t>from the Image Intensifier from theatre and lithotripsy</w:t>
            </w:r>
            <w:r w:rsidR="00C80C4B">
              <w:rPr>
                <w:rFonts w:ascii="Calibri" w:eastAsia="Times New Roman" w:hAnsi="Calibri" w:cs="Times New Roman"/>
                <w:color w:val="000000"/>
              </w:rPr>
              <w:t xml:space="preserve">. 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D</w:t>
            </w:r>
            <w:r w:rsidR="00612590" w:rsidRPr="00446612">
              <w:rPr>
                <w:rFonts w:cstheme="minorHAnsi"/>
              </w:rPr>
              <w:t xml:space="preserve">ifferences in the time </w:t>
            </w:r>
            <w:r w:rsidR="00612590">
              <w:rPr>
                <w:rFonts w:cstheme="minorHAnsi"/>
              </w:rPr>
              <w:t xml:space="preserve">(seconds) </w:t>
            </w:r>
            <w:r w:rsidR="00612590" w:rsidRPr="00446612">
              <w:rPr>
                <w:rFonts w:cstheme="minorHAnsi"/>
              </w:rPr>
              <w:t xml:space="preserve">and </w:t>
            </w:r>
            <w:r w:rsidR="007F3801">
              <w:rPr>
                <w:rFonts w:cstheme="minorHAnsi"/>
              </w:rPr>
              <w:t xml:space="preserve">dose </w:t>
            </w:r>
            <w:r w:rsidR="00612590">
              <w:rPr>
                <w:rFonts w:cstheme="minorHAnsi"/>
              </w:rPr>
              <w:t>(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mGy</w:t>
            </w:r>
            <w:r w:rsidR="007F3801">
              <w:rPr>
                <w:rFonts w:ascii="Calibri" w:eastAsia="Times New Roman" w:hAnsi="Calibri" w:cs="Times New Roman"/>
                <w:color w:val="000000"/>
              </w:rPr>
              <w:t>c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m</w:t>
            </w:r>
            <w:r w:rsidR="00612590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)</w:t>
            </w:r>
            <w:r w:rsidR="00612590" w:rsidRPr="00446612">
              <w:rPr>
                <w:rFonts w:cstheme="minorHAnsi"/>
              </w:rPr>
              <w:t xml:space="preserve"> of radiation exposure between </w:t>
            </w:r>
            <w:r w:rsidR="00612590">
              <w:rPr>
                <w:rFonts w:cstheme="minorHAnsi"/>
              </w:rPr>
              <w:t xml:space="preserve">RURS and ESWL </w:t>
            </w:r>
            <w:r w:rsidR="00612590" w:rsidRPr="00446612">
              <w:rPr>
                <w:rFonts w:cstheme="minorHAnsi"/>
              </w:rPr>
              <w:t>were compared using Mann-Whitney U test</w:t>
            </w:r>
            <w:r w:rsidR="00612590">
              <w:rPr>
                <w:rFonts w:cstheme="minorHAnsi"/>
              </w:rPr>
              <w:t xml:space="preserve">.  Data analysis </w:t>
            </w:r>
            <w:r w:rsidR="00412CB0">
              <w:rPr>
                <w:rFonts w:cstheme="minorHAnsi"/>
              </w:rPr>
              <w:t xml:space="preserve">was </w:t>
            </w:r>
            <w:r w:rsidR="00612590">
              <w:rPr>
                <w:rFonts w:cstheme="minorHAnsi"/>
              </w:rPr>
              <w:t xml:space="preserve">conducted using </w:t>
            </w:r>
            <w:r w:rsidR="00446612" w:rsidRPr="00446612">
              <w:rPr>
                <w:rFonts w:cstheme="minorHAnsi"/>
              </w:rPr>
              <w:t>SPSS Version 25</w:t>
            </w:r>
            <w:r w:rsidR="007F3801">
              <w:rPr>
                <w:rFonts w:cstheme="minorHAnsi"/>
              </w:rPr>
              <w:t xml:space="preserve">. </w:t>
            </w:r>
          </w:p>
        </w:tc>
      </w:tr>
      <w:tr w:rsidR="00671A83" w:rsidRPr="005C080D" w14:paraId="1FD35F5B" w14:textId="77777777" w:rsidTr="00A44ECF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23E854" w14:textId="77777777" w:rsidR="00671A83" w:rsidRPr="005C080D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Results</w:t>
            </w:r>
            <w:r w:rsidRPr="005C080D">
              <w:rPr>
                <w:rFonts w:ascii="Calibri" w:eastAsia="Calibri" w:hAnsi="Calibri" w:cs="Times New Roman"/>
              </w:rPr>
              <w:t>:</w:t>
            </w:r>
          </w:p>
          <w:p w14:paraId="6194AD90" w14:textId="77777777" w:rsidR="00446612" w:rsidRPr="00446612" w:rsidRDefault="00181DDA" w:rsidP="0044661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131 patients 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 xml:space="preserve">(55 RURS and 76 ESWL)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were compiled. </w:t>
            </w:r>
            <w:r w:rsidR="007F3801">
              <w:rPr>
                <w:rFonts w:ascii="Calibri" w:eastAsia="Times New Roman" w:hAnsi="Calibri" w:cs="Times New Roman"/>
                <w:color w:val="000000"/>
              </w:rPr>
              <w:t xml:space="preserve">Mean radiation exposure time was 67s for 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RURS</w:t>
            </w:r>
            <w:r w:rsidR="0044661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7F3801">
              <w:rPr>
                <w:rFonts w:ascii="Calibri" w:eastAsia="Times New Roman" w:hAnsi="Calibri" w:cs="Times New Roman"/>
                <w:color w:val="000000"/>
              </w:rPr>
              <w:t xml:space="preserve">and 4s for ESWL.  Mean radiation dose was </w:t>
            </w:r>
            <w:r w:rsidR="00446612">
              <w:rPr>
                <w:rFonts w:ascii="Calibri" w:eastAsia="Times New Roman" w:hAnsi="Calibri" w:cs="Times New Roman"/>
                <w:color w:val="000000"/>
              </w:rPr>
              <w:t>3214mGycm</w:t>
            </w:r>
            <w:r w:rsidR="00446612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="007F3801">
              <w:rPr>
                <w:rFonts w:ascii="Calibri" w:eastAsia="Times New Roman" w:hAnsi="Calibri" w:cs="Times New Roman"/>
                <w:color w:val="000000"/>
                <w:vertAlign w:val="superscript"/>
              </w:rPr>
              <w:t xml:space="preserve"> </w:t>
            </w:r>
            <w:r w:rsidR="007F3801">
              <w:rPr>
                <w:rFonts w:ascii="Calibri" w:eastAsia="Times New Roman" w:hAnsi="Calibri" w:cs="Times New Roman"/>
                <w:color w:val="000000"/>
              </w:rPr>
              <w:t xml:space="preserve">for RURS and </w:t>
            </w:r>
            <w:r w:rsidR="00446612">
              <w:rPr>
                <w:rFonts w:ascii="Calibri" w:eastAsia="Times New Roman" w:hAnsi="Calibri" w:cs="Times New Roman"/>
                <w:color w:val="000000"/>
              </w:rPr>
              <w:t>982mGycm</w:t>
            </w:r>
            <w:r w:rsidR="00446612">
              <w:rPr>
                <w:rFonts w:ascii="Calibri" w:eastAsia="Times New Roman" w:hAnsi="Calibri" w:cs="Times New Roman"/>
                <w:color w:val="000000"/>
                <w:vertAlign w:val="superscript"/>
              </w:rPr>
              <w:t>2</w:t>
            </w:r>
            <w:r w:rsidR="007F3801">
              <w:rPr>
                <w:rFonts w:ascii="Calibri" w:eastAsia="Times New Roman" w:hAnsi="Calibri" w:cs="Times New Roman"/>
                <w:color w:val="000000"/>
                <w:vertAlign w:val="superscript"/>
              </w:rPr>
              <w:t xml:space="preserve"> </w:t>
            </w:r>
            <w:r w:rsidR="007F3801">
              <w:rPr>
                <w:rFonts w:ascii="Calibri" w:eastAsia="Times New Roman" w:hAnsi="Calibri" w:cs="Times New Roman"/>
                <w:color w:val="000000"/>
              </w:rPr>
              <w:t>for ESWL.  Time of radiation exposure</w:t>
            </w:r>
            <w:r w:rsidR="00446612">
              <w:rPr>
                <w:rFonts w:ascii="Calibri" w:eastAsia="Times New Roman" w:hAnsi="Calibri" w:cs="Times New Roman"/>
                <w:color w:val="000000"/>
              </w:rPr>
              <w:t xml:space="preserve"> was significantly l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>ower for ESWL compared with RURS</w:t>
            </w:r>
            <w:r w:rsidR="0044661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446612" w:rsidRPr="00446612">
              <w:rPr>
                <w:rFonts w:ascii="Calibri" w:eastAsia="Times New Roman" w:hAnsi="Calibri" w:cs="Times New Roman"/>
                <w:color w:val="000000"/>
              </w:rPr>
              <w:t>(4±6</w:t>
            </w:r>
            <w:r w:rsidR="00612590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446612" w:rsidRPr="00446612">
              <w:rPr>
                <w:rFonts w:ascii="Calibri" w:eastAsia="Times New Roman" w:hAnsi="Calibri" w:cs="Times New Roman"/>
                <w:color w:val="000000"/>
              </w:rPr>
              <w:t>vs. 67±56 s; P</w:t>
            </w:r>
            <w:r w:rsidR="00446612">
              <w:rPr>
                <w:rFonts w:ascii="Calibri" w:eastAsia="Times New Roman" w:hAnsi="Calibri" w:cs="Times New Roman"/>
                <w:color w:val="000000"/>
              </w:rPr>
              <w:t>&lt;</w:t>
            </w:r>
            <w:r w:rsidR="00446612" w:rsidRPr="00446612">
              <w:rPr>
                <w:rFonts w:ascii="Calibri" w:eastAsia="Times New Roman" w:hAnsi="Calibri" w:cs="Times New Roman"/>
                <w:color w:val="000000"/>
              </w:rPr>
              <w:t>0.001).</w:t>
            </w:r>
            <w:r w:rsidR="00446612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 w:rsidR="00446612">
              <w:rPr>
                <w:rFonts w:cstheme="minorHAnsi"/>
              </w:rPr>
              <w:t xml:space="preserve">Similarly, </w:t>
            </w:r>
            <w:r w:rsidR="007F3801">
              <w:rPr>
                <w:rFonts w:cstheme="minorHAnsi"/>
              </w:rPr>
              <w:t>total r</w:t>
            </w:r>
            <w:r w:rsidR="00446612">
              <w:rPr>
                <w:rFonts w:cstheme="minorHAnsi"/>
              </w:rPr>
              <w:t xml:space="preserve">adiation </w:t>
            </w:r>
            <w:r w:rsidR="007F3801">
              <w:rPr>
                <w:rFonts w:cstheme="minorHAnsi"/>
              </w:rPr>
              <w:t xml:space="preserve">dose </w:t>
            </w:r>
            <w:r w:rsidR="00446612">
              <w:rPr>
                <w:rFonts w:cstheme="minorHAnsi"/>
              </w:rPr>
              <w:t xml:space="preserve">was significantly lower </w:t>
            </w:r>
            <w:r w:rsidR="00412CB0">
              <w:rPr>
                <w:rFonts w:cstheme="minorHAnsi"/>
              </w:rPr>
              <w:t xml:space="preserve">for </w:t>
            </w:r>
            <w:r w:rsidR="007F3801">
              <w:rPr>
                <w:rFonts w:cstheme="minorHAnsi"/>
              </w:rPr>
              <w:t xml:space="preserve">ESWL </w:t>
            </w:r>
            <w:r w:rsidR="00446612">
              <w:rPr>
                <w:rFonts w:cstheme="minorHAnsi"/>
              </w:rPr>
              <w:t xml:space="preserve">compared with </w:t>
            </w:r>
            <w:r w:rsidR="007F3801">
              <w:rPr>
                <w:rFonts w:cstheme="minorHAnsi"/>
              </w:rPr>
              <w:t>RURS</w:t>
            </w:r>
            <w:r w:rsidR="00446612">
              <w:rPr>
                <w:rFonts w:cstheme="minorHAnsi"/>
              </w:rPr>
              <w:t xml:space="preserve"> (982±664</w:t>
            </w:r>
            <w:r w:rsidR="007F3801">
              <w:rPr>
                <w:rFonts w:cstheme="minorHAnsi"/>
              </w:rPr>
              <w:t xml:space="preserve"> </w:t>
            </w:r>
            <w:r w:rsidR="00446612">
              <w:rPr>
                <w:rFonts w:cstheme="minorHAnsi"/>
              </w:rPr>
              <w:t xml:space="preserve">vs. 3214±3649 </w:t>
            </w:r>
            <w:r w:rsidR="00446612" w:rsidRPr="002C176C">
              <w:rPr>
                <w:rFonts w:cstheme="minorHAnsi"/>
              </w:rPr>
              <w:t>mGycm</w:t>
            </w:r>
            <w:r w:rsidR="00446612" w:rsidRPr="002C176C">
              <w:rPr>
                <w:rFonts w:cstheme="minorHAnsi"/>
                <w:vertAlign w:val="superscript"/>
              </w:rPr>
              <w:t>2</w:t>
            </w:r>
            <w:r w:rsidR="00446612">
              <w:rPr>
                <w:rFonts w:cstheme="minorHAnsi"/>
              </w:rPr>
              <w:t>; P&lt;0.001).</w:t>
            </w:r>
          </w:p>
        </w:tc>
      </w:tr>
      <w:tr w:rsidR="00671A83" w:rsidRPr="005C080D" w14:paraId="275248DB" w14:textId="77777777" w:rsidTr="00A44ECF">
        <w:tc>
          <w:tcPr>
            <w:tcW w:w="10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FDEB12" w14:textId="77777777" w:rsidR="00671A83" w:rsidRPr="005C080D" w:rsidRDefault="00671A83" w:rsidP="00A44ECF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5C080D">
              <w:rPr>
                <w:rFonts w:ascii="Calibri" w:eastAsia="Calibri" w:hAnsi="Calibri" w:cs="Times New Roman"/>
                <w:b/>
              </w:rPr>
              <w:t>Conclusion</w:t>
            </w:r>
            <w:r w:rsidRPr="005C080D">
              <w:rPr>
                <w:rFonts w:ascii="Calibri" w:eastAsia="Calibri" w:hAnsi="Calibri" w:cs="Times New Roman"/>
              </w:rPr>
              <w:t>:</w:t>
            </w:r>
          </w:p>
          <w:p w14:paraId="4A2FD02E" w14:textId="77777777" w:rsidR="00671A83" w:rsidRPr="005C080D" w:rsidRDefault="00412CB0" w:rsidP="00A44EC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These data demonstrate that the time and dose of r</w:t>
            </w:r>
            <w:r w:rsidR="00C80C4B">
              <w:rPr>
                <w:rFonts w:ascii="Calibri" w:eastAsia="Times New Roman" w:hAnsi="Calibri" w:cs="Times New Roman"/>
                <w:color w:val="000000"/>
              </w:rPr>
              <w:t>adiation exposure i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s </w:t>
            </w:r>
            <w:r w:rsidR="00C80C4B">
              <w:rPr>
                <w:rFonts w:ascii="Calibri" w:eastAsia="Times New Roman" w:hAnsi="Calibri" w:cs="Times New Roman"/>
                <w:color w:val="000000"/>
              </w:rPr>
              <w:t xml:space="preserve">significantly </w:t>
            </w:r>
            <w:r>
              <w:rPr>
                <w:rFonts w:ascii="Calibri" w:eastAsia="Times New Roman" w:hAnsi="Calibri" w:cs="Times New Roman"/>
                <w:color w:val="000000"/>
              </w:rPr>
              <w:t>lower for ESWL</w:t>
            </w:r>
            <w:r w:rsidR="00C80C4B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 xml:space="preserve">compared with </w:t>
            </w:r>
            <w:r w:rsidR="00C80C4B">
              <w:rPr>
                <w:rFonts w:ascii="Calibri" w:eastAsia="Times New Roman" w:hAnsi="Calibri" w:cs="Times New Roman"/>
                <w:color w:val="000000"/>
              </w:rPr>
              <w:t>RURS. This</w:t>
            </w:r>
            <w:r w:rsidR="007F3801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</w:rPr>
              <w:t>might</w:t>
            </w:r>
            <w:r w:rsidR="007F3801">
              <w:rPr>
                <w:rFonts w:ascii="Calibri" w:eastAsia="Times New Roman" w:hAnsi="Calibri" w:cs="Times New Roman"/>
                <w:color w:val="000000"/>
              </w:rPr>
              <w:t xml:space="preserve"> have long term health effects on patients undergoing repeat treatments </w:t>
            </w:r>
            <w:r>
              <w:rPr>
                <w:rFonts w:ascii="Calibri" w:eastAsia="Times New Roman" w:hAnsi="Calibri" w:cs="Times New Roman"/>
                <w:color w:val="000000"/>
              </w:rPr>
              <w:t>and should be taken into account when considering treatment options on an individual level.</w:t>
            </w:r>
          </w:p>
        </w:tc>
      </w:tr>
    </w:tbl>
    <w:p w14:paraId="1AC1D2BA" w14:textId="77777777" w:rsidR="00784A79" w:rsidRPr="00671A83" w:rsidRDefault="00784A79" w:rsidP="00671A83">
      <w:pPr>
        <w:jc w:val="center"/>
      </w:pPr>
    </w:p>
    <w:sectPr w:rsidR="00784A79" w:rsidRPr="00671A83" w:rsidSect="001A225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A83"/>
    <w:rsid w:val="00016767"/>
    <w:rsid w:val="00042E03"/>
    <w:rsid w:val="00181DDA"/>
    <w:rsid w:val="001A2255"/>
    <w:rsid w:val="00412CB0"/>
    <w:rsid w:val="00446612"/>
    <w:rsid w:val="00612590"/>
    <w:rsid w:val="00671A83"/>
    <w:rsid w:val="00784A79"/>
    <w:rsid w:val="007F3801"/>
    <w:rsid w:val="009621E2"/>
    <w:rsid w:val="009B7514"/>
    <w:rsid w:val="00A51650"/>
    <w:rsid w:val="00BB232E"/>
    <w:rsid w:val="00BD0222"/>
    <w:rsid w:val="00BE1FA6"/>
    <w:rsid w:val="00C80C4B"/>
    <w:rsid w:val="00D8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61CF2"/>
  <w15:chartTrackingRefBased/>
  <w15:docId w15:val="{CAC5E134-29D3-E249-BA28-7FAE8C747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1A8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357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Whyte</dc:creator>
  <cp:keywords/>
  <dc:description/>
  <cp:lastModifiedBy>Debbie Wood</cp:lastModifiedBy>
  <cp:revision>2</cp:revision>
  <dcterms:created xsi:type="dcterms:W3CDTF">2020-11-07T12:42:00Z</dcterms:created>
  <dcterms:modified xsi:type="dcterms:W3CDTF">2020-11-07T12:42:00Z</dcterms:modified>
</cp:coreProperties>
</file>