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6865C" w14:textId="77777777" w:rsidR="00CF669E" w:rsidRDefault="00CF669E">
      <w:pPr>
        <w:rPr>
          <w:sz w:val="28"/>
          <w:szCs w:val="28"/>
        </w:rPr>
      </w:pPr>
    </w:p>
    <w:p w14:paraId="3FED2979" w14:textId="77777777" w:rsidR="00083B17" w:rsidRDefault="00C85766">
      <w:pPr>
        <w:rPr>
          <w:sz w:val="28"/>
          <w:szCs w:val="28"/>
        </w:rPr>
      </w:pPr>
      <w:r w:rsidRPr="00C85766">
        <w:rPr>
          <w:b/>
          <w:noProof/>
          <w:sz w:val="28"/>
          <w:szCs w:val="28"/>
          <w:u w:val="single"/>
          <w:lang w:eastAsia="en-GB"/>
        </w:rPr>
        <mc:AlternateContent>
          <mc:Choice Requires="wps">
            <w:drawing>
              <wp:anchor distT="0" distB="0" distL="114300" distR="114300" simplePos="0" relativeHeight="251659264" behindDoc="0" locked="0" layoutInCell="1" allowOverlap="1" wp14:anchorId="581E8700" wp14:editId="2379D5A6">
                <wp:simplePos x="0" y="0"/>
                <wp:positionH relativeFrom="column">
                  <wp:posOffset>17092</wp:posOffset>
                </wp:positionH>
                <wp:positionV relativeFrom="paragraph">
                  <wp:posOffset>295322</wp:posOffset>
                </wp:positionV>
                <wp:extent cx="5624623" cy="6426438"/>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623" cy="6426438"/>
                        </a:xfrm>
                        <a:prstGeom prst="rect">
                          <a:avLst/>
                        </a:prstGeom>
                        <a:noFill/>
                        <a:ln w="9525">
                          <a:noFill/>
                          <a:miter lim="800000"/>
                          <a:headEnd/>
                          <a:tailEnd/>
                        </a:ln>
                      </wps:spPr>
                      <wps:txb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6"/>
                              <w:gridCol w:w="3450"/>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6B0E883" w:rsidR="00C85766" w:rsidRDefault="00C85766">
                                  <w:pPr>
                                    <w:spacing w:after="0" w:line="240" w:lineRule="auto"/>
                                  </w:pPr>
                                  <w:r>
                                    <w:rPr>
                                      <w:b/>
                                    </w:rPr>
                                    <w:t>Name of Presenter</w:t>
                                  </w:r>
                                  <w:r>
                                    <w:t>:</w:t>
                                  </w:r>
                                  <w:r w:rsidR="00E57A4F">
                                    <w:t xml:space="preserve"> </w:t>
                                  </w:r>
                                  <w:r w:rsidR="001A3402">
                                    <w:t>Vikram Sehgal</w:t>
                                  </w:r>
                                </w:p>
                                <w:p w14:paraId="3626EC5F" w14:textId="77777777" w:rsidR="00C85766" w:rsidRDefault="00C85766">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0E46C76A" w14:textId="0F091809" w:rsidR="00C85766" w:rsidRDefault="00C85766">
                                  <w:pPr>
                                    <w:spacing w:after="0" w:line="240" w:lineRule="auto"/>
                                    <w:rPr>
                                      <w:rFonts w:cs="Times New Roman"/>
                                    </w:rPr>
                                  </w:pPr>
                                  <w:r>
                                    <w:rPr>
                                      <w:b/>
                                    </w:rPr>
                                    <w:t>Training grade/post</w:t>
                                  </w:r>
                                  <w:r>
                                    <w:t>:</w:t>
                                  </w:r>
                                  <w:r w:rsidR="001A3402">
                                    <w:t xml:space="preserve"> FY1</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5A631BAF" w:rsidR="00C85766" w:rsidRDefault="00C85766">
                                  <w:pPr>
                                    <w:spacing w:after="0" w:line="240" w:lineRule="auto"/>
                                  </w:pPr>
                                  <w:r>
                                    <w:rPr>
                                      <w:b/>
                                    </w:rPr>
                                    <w:t>Institution</w:t>
                                  </w:r>
                                  <w:r>
                                    <w:t>:</w:t>
                                  </w:r>
                                  <w:r w:rsidR="001A3402">
                                    <w:t xml:space="preserve"> Freeman Hospital</w:t>
                                  </w:r>
                                </w:p>
                                <w:p w14:paraId="288DE9C1" w14:textId="77777777" w:rsidR="00C85766" w:rsidRDefault="00C85766">
                                  <w:pPr>
                                    <w:spacing w:after="0" w:line="240" w:lineRule="auto"/>
                                    <w:rPr>
                                      <w:rFonts w:cs="Times New Roman"/>
                                    </w:rPr>
                                  </w:pP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040A1FD" w14:textId="77777777" w:rsidR="00C85766" w:rsidRDefault="00C85766">
                                  <w:pPr>
                                    <w:spacing w:after="0" w:line="240" w:lineRule="auto"/>
                                  </w:pPr>
                                  <w:r>
                                    <w:rPr>
                                      <w:b/>
                                    </w:rPr>
                                    <w:t>Title of Presentation</w:t>
                                  </w:r>
                                  <w:r>
                                    <w:t>:</w:t>
                                  </w:r>
                                </w:p>
                                <w:p w14:paraId="6A931C7B" w14:textId="052CDF85" w:rsidR="00C85766" w:rsidRDefault="001A3402">
                                  <w:pPr>
                                    <w:spacing w:after="0" w:line="240" w:lineRule="auto"/>
                                  </w:pPr>
                                  <w:r>
                                    <w:t>TREXIT: Safe transition to local anaesthetic transperineal prostate biopsies</w:t>
                                  </w:r>
                                </w:p>
                                <w:p w14:paraId="28B89604" w14:textId="77777777" w:rsidR="00C85766" w:rsidRDefault="00C85766">
                                  <w:pPr>
                                    <w:spacing w:after="0" w:line="240" w:lineRule="auto"/>
                                    <w:rPr>
                                      <w:rFonts w:cs="Times New Roman"/>
                                    </w:rPr>
                                  </w:pP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51823CDA" w14:textId="207E4D79" w:rsidR="00C85766" w:rsidRDefault="001A3402">
                                  <w:pPr>
                                    <w:spacing w:after="0" w:line="240" w:lineRule="auto"/>
                                  </w:pPr>
                                  <w:r>
                                    <w:t xml:space="preserve">Vikram Sehgal, Ashwin Sachdeva, Tariq </w:t>
                                  </w:r>
                                  <w:proofErr w:type="spellStart"/>
                                  <w:r>
                                    <w:t>Dosani</w:t>
                                  </w:r>
                                  <w:proofErr w:type="spellEnd"/>
                                  <w:r>
                                    <w:t xml:space="preserve">, Rahul Gujadhur, Edgar </w:t>
                                  </w:r>
                                  <w:proofErr w:type="spellStart"/>
                                  <w:r>
                                    <w:t>Paez</w:t>
                                  </w:r>
                                  <w:proofErr w:type="spellEnd"/>
                                  <w:r>
                                    <w:t>, Bhavan Rai, Rajan Veeratterapillay</w:t>
                                  </w:r>
                                </w:p>
                                <w:p w14:paraId="0C65680A" w14:textId="77777777" w:rsidR="00C85766" w:rsidRDefault="00C85766">
                                  <w:pPr>
                                    <w:spacing w:after="0" w:line="240" w:lineRule="auto"/>
                                    <w:rPr>
                                      <w:rFonts w:cs="Times New Roman"/>
                                    </w:rPr>
                                  </w:pPr>
                                </w:p>
                              </w:tc>
                            </w:tr>
                            <w:tr w:rsidR="00C85766" w14:paraId="6E6AD29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64893D5F" w14:textId="42156B60" w:rsidR="00C85766" w:rsidRDefault="001A3402" w:rsidP="001A3402">
                                  <w:pPr>
                                    <w:spacing w:after="0" w:line="240" w:lineRule="auto"/>
                                  </w:pPr>
                                  <w:r>
                                    <w:t>T</w:t>
                                  </w:r>
                                  <w:r w:rsidR="00743169">
                                    <w:t>rans-rectal (TR)</w:t>
                                  </w:r>
                                  <w:r>
                                    <w:t xml:space="preserve"> prostate biopsies suffer from high false negative rates, and high incidence of infectious complications requiring the use of broad-spectrum antibiotic prophylaxis. In contrast, the trans</w:t>
                                  </w:r>
                                  <w:r w:rsidR="00DE6E7C">
                                    <w:t>-</w:t>
                                  </w:r>
                                  <w:r>
                                    <w:t>perineal</w:t>
                                  </w:r>
                                  <w:r w:rsidR="00DE6E7C">
                                    <w:t xml:space="preserve"> (TP)</w:t>
                                  </w:r>
                                  <w:r>
                                    <w:t xml:space="preserve"> route enable</w:t>
                                  </w:r>
                                  <w:r w:rsidR="00743169">
                                    <w:t>s</w:t>
                                  </w:r>
                                  <w:r>
                                    <w:t xml:space="preserve"> better sampling of the anterior prostate whilst potentially reducing the </w:t>
                                  </w:r>
                                  <w:r w:rsidR="00743169">
                                    <w:t xml:space="preserve">contamination of the urinary tract with </w:t>
                                  </w:r>
                                  <w:r>
                                    <w:t>faecal flora</w:t>
                                  </w:r>
                                  <w:r w:rsidR="00743169">
                                    <w:t>. We therefore aimed to evaluate the safe transition from TR to TP prostate biopsies at Freeman Hospital.</w:t>
                                  </w:r>
                                </w:p>
                                <w:p w14:paraId="73285C53" w14:textId="75554D73" w:rsidR="001A3402" w:rsidRDefault="001A3402" w:rsidP="001A3402">
                                  <w:pPr>
                                    <w:spacing w:after="0" w:line="240" w:lineRule="auto"/>
                                    <w:rPr>
                                      <w:rFonts w:cs="Times New Roman"/>
                                    </w:rPr>
                                  </w:pP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B90D97C" w14:textId="6A6AFD56" w:rsidR="00C85766" w:rsidRDefault="00743169">
                                  <w:pPr>
                                    <w:spacing w:after="0" w:line="240" w:lineRule="auto"/>
                                  </w:pPr>
                                  <w:r>
                                    <w:t xml:space="preserve">We undertook a retrospective audit </w:t>
                                  </w:r>
                                  <w:r w:rsidR="00DE6E7C">
                                    <w:t>all</w:t>
                                  </w:r>
                                  <w:r>
                                    <w:t xml:space="preserve"> prostate biopsies</w:t>
                                  </w:r>
                                  <w:r w:rsidR="00DE6E7C">
                                    <w:t xml:space="preserve"> undertaken</w:t>
                                  </w:r>
                                  <w:r>
                                    <w:t xml:space="preserve"> over a 3-month period before and after the introduction of a </w:t>
                                  </w:r>
                                  <w:r w:rsidR="00E57A4F">
                                    <w:t>local anaesthetic (LA)</w:t>
                                  </w:r>
                                  <w:r>
                                    <w:t xml:space="preserve"> TP biopsy service. We recorded data regarding either development of urosepsis or urinary retention within 30-days of the procedure by evaluating regional electronic health records.</w:t>
                                  </w:r>
                                </w:p>
                                <w:p w14:paraId="1EF430C8" w14:textId="77777777" w:rsidR="00C85766" w:rsidRDefault="00C85766">
                                  <w:pPr>
                                    <w:spacing w:after="0" w:line="240" w:lineRule="auto"/>
                                    <w:rPr>
                                      <w:rFonts w:cs="Times New Roman"/>
                                    </w:rPr>
                                  </w:pP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15110355" w14:textId="4D0DD8A9" w:rsidR="00C85766" w:rsidRDefault="00E57A4F">
                                  <w:pPr>
                                    <w:spacing w:after="0" w:line="240" w:lineRule="auto"/>
                                  </w:pPr>
                                  <w:r>
                                    <w:t>A</w:t>
                                  </w:r>
                                  <w:r w:rsidR="00743169">
                                    <w:t xml:space="preserve"> total of 268 prostate biop</w:t>
                                  </w:r>
                                  <w:r>
                                    <w:t>s</w:t>
                                  </w:r>
                                  <w:r w:rsidR="00743169">
                                    <w:t xml:space="preserve">ies </w:t>
                                  </w:r>
                                  <w:r>
                                    <w:t xml:space="preserve">were </w:t>
                                  </w:r>
                                  <w:r w:rsidR="00743169">
                                    <w:t>undertaken within the cumulative 6-month period. Amongst the 125 patients who underwent TR prostate biopsies, one patient developed urosepsis and none developed urinary retention. In contrast, amongst 142 patients who underwent TP biopsies, none developed either urosepsis or urinary retention at 30-day follow-up.</w:t>
                                  </w:r>
                                </w:p>
                                <w:p w14:paraId="48B988EE" w14:textId="77777777" w:rsidR="00C85766" w:rsidRDefault="00C85766">
                                  <w:pPr>
                                    <w:spacing w:after="0" w:line="240" w:lineRule="auto"/>
                                    <w:rPr>
                                      <w:rFonts w:cs="Times New Roman"/>
                                    </w:rPr>
                                  </w:pP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4CCF8CA3" w14:textId="095B7CF3" w:rsidR="00C85766" w:rsidRDefault="00DE6E7C">
                                  <w:pPr>
                                    <w:spacing w:after="0" w:line="240" w:lineRule="auto"/>
                                  </w:pPr>
                                  <w:r>
                                    <w:t>There was no increase in morbidity during the transition from TR to TP prostate biopsies</w:t>
                                  </w:r>
                                  <w:r w:rsidR="00E57A4F">
                                    <w:t>, confirming the safe introduction of LA TP biopsies.</w:t>
                                  </w:r>
                                </w:p>
                                <w:p w14:paraId="515317BD" w14:textId="77777777" w:rsidR="00C85766" w:rsidRDefault="00C85766">
                                  <w:pPr>
                                    <w:spacing w:after="0" w:line="240" w:lineRule="auto"/>
                                    <w:rPr>
                                      <w:rFonts w:cs="Times New Roman"/>
                                    </w:rPr>
                                  </w:pP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77777777" w:rsidR="00C85766" w:rsidRDefault="00C85766">
                                  <w:pPr>
                                    <w:spacing w:after="0" w:line="240" w:lineRule="auto"/>
                                    <w:rPr>
                                      <w:rFonts w:cs="Times New Roman"/>
                                      <w:sz w:val="28"/>
                                      <w:szCs w:val="28"/>
                                    </w:rPr>
                                  </w:pPr>
                                  <w:r>
                                    <w:rPr>
                                      <w:b/>
                                      <w:sz w:val="28"/>
                                      <w:szCs w:val="28"/>
                                    </w:rPr>
                                    <w:t>Total Word Count (max 250)</w:t>
                                  </w:r>
                                  <w:r>
                                    <w:rPr>
                                      <w:sz w:val="28"/>
                                      <w:szCs w:val="28"/>
                                    </w:rPr>
                                    <w:t>:</w:t>
                                  </w:r>
                                </w:p>
                              </w:tc>
                            </w:tr>
                          </w:tbl>
                          <w:p w14:paraId="4835463A" w14:textId="77777777" w:rsidR="00CF669E" w:rsidRDefault="00CF66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E8700" id="_x0000_t202" coordsize="21600,21600" o:spt="202" path="m,l,21600r21600,l21600,xe">
                <v:stroke joinstyle="miter"/>
                <v:path gradientshapeok="t" o:connecttype="rect"/>
              </v:shapetype>
              <v:shape id="Text Box 2" o:spid="_x0000_s1026" type="#_x0000_t202" style="position:absolute;margin-left:1.35pt;margin-top:23.25pt;width:442.9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" filled="f" stroked="f">
                <v:textbox>
                  <w:txbxContent>
                    <w:p w14:paraId="3E5E302F" w14:textId="77777777" w:rsidR="00C85766" w:rsidRDefault="00C857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6"/>
                        <w:gridCol w:w="3450"/>
                      </w:tblGrid>
                      <w:tr w:rsidR="00C85766" w14:paraId="4C5CEB40" w14:textId="77777777" w:rsidTr="00C85766">
                        <w:tc>
                          <w:tcPr>
                            <w:tcW w:w="5637" w:type="dxa"/>
                            <w:tcBorders>
                              <w:top w:val="single" w:sz="4" w:space="0" w:color="auto"/>
                              <w:left w:val="single" w:sz="4" w:space="0" w:color="auto"/>
                              <w:bottom w:val="single" w:sz="4" w:space="0" w:color="auto"/>
                              <w:right w:val="single" w:sz="4" w:space="0" w:color="auto"/>
                            </w:tcBorders>
                          </w:tcPr>
                          <w:p w14:paraId="3E6B519E" w14:textId="76B0E883" w:rsidR="00C85766" w:rsidRDefault="00C85766">
                            <w:pPr>
                              <w:spacing w:after="0" w:line="240" w:lineRule="auto"/>
                            </w:pPr>
                            <w:r>
                              <w:rPr>
                                <w:b/>
                              </w:rPr>
                              <w:t>Name of Presenter</w:t>
                            </w:r>
                            <w:r>
                              <w:t>:</w:t>
                            </w:r>
                            <w:r w:rsidR="00E57A4F">
                              <w:t xml:space="preserve"> </w:t>
                            </w:r>
                            <w:r w:rsidR="001A3402">
                              <w:t>Vikram Sehgal</w:t>
                            </w:r>
                          </w:p>
                          <w:p w14:paraId="3626EC5F" w14:textId="77777777" w:rsidR="00C85766" w:rsidRDefault="00C85766">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0E46C76A" w14:textId="0F091809" w:rsidR="00C85766" w:rsidRDefault="00C85766">
                            <w:pPr>
                              <w:spacing w:after="0" w:line="240" w:lineRule="auto"/>
                              <w:rPr>
                                <w:rFonts w:cs="Times New Roman"/>
                              </w:rPr>
                            </w:pPr>
                            <w:r>
                              <w:rPr>
                                <w:b/>
                              </w:rPr>
                              <w:t>Training grade/post</w:t>
                            </w:r>
                            <w:r>
                              <w:t>:</w:t>
                            </w:r>
                            <w:r w:rsidR="001A3402">
                              <w:t xml:space="preserve"> FY1</w:t>
                            </w:r>
                          </w:p>
                        </w:tc>
                      </w:tr>
                      <w:tr w:rsidR="00C85766" w14:paraId="674D6C4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3B9C381" w14:textId="5A631BAF" w:rsidR="00C85766" w:rsidRDefault="00C85766">
                            <w:pPr>
                              <w:spacing w:after="0" w:line="240" w:lineRule="auto"/>
                            </w:pPr>
                            <w:r>
                              <w:rPr>
                                <w:b/>
                              </w:rPr>
                              <w:t>Institution</w:t>
                            </w:r>
                            <w:r>
                              <w:t>:</w:t>
                            </w:r>
                            <w:r w:rsidR="001A3402">
                              <w:t xml:space="preserve"> Freeman Hospital</w:t>
                            </w:r>
                          </w:p>
                          <w:p w14:paraId="288DE9C1" w14:textId="77777777" w:rsidR="00C85766" w:rsidRDefault="00C85766">
                            <w:pPr>
                              <w:spacing w:after="0" w:line="240" w:lineRule="auto"/>
                              <w:rPr>
                                <w:rFonts w:cs="Times New Roman"/>
                              </w:rPr>
                            </w:pPr>
                          </w:p>
                        </w:tc>
                      </w:tr>
                      <w:tr w:rsidR="00C85766" w14:paraId="4C5FF08B"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2040A1FD" w14:textId="77777777" w:rsidR="00C85766" w:rsidRDefault="00C85766">
                            <w:pPr>
                              <w:spacing w:after="0" w:line="240" w:lineRule="auto"/>
                            </w:pPr>
                            <w:r>
                              <w:rPr>
                                <w:b/>
                              </w:rPr>
                              <w:t>Title of Presentation</w:t>
                            </w:r>
                            <w:r>
                              <w:t>:</w:t>
                            </w:r>
                          </w:p>
                          <w:p w14:paraId="6A931C7B" w14:textId="052CDF85" w:rsidR="00C85766" w:rsidRDefault="001A3402">
                            <w:pPr>
                              <w:spacing w:after="0" w:line="240" w:lineRule="auto"/>
                            </w:pPr>
                            <w:r>
                              <w:t>TREXIT: Safe transition to local anaesthetic transperineal prostate biopsies</w:t>
                            </w:r>
                          </w:p>
                          <w:p w14:paraId="28B89604" w14:textId="77777777" w:rsidR="00C85766" w:rsidRDefault="00C85766">
                            <w:pPr>
                              <w:spacing w:after="0" w:line="240" w:lineRule="auto"/>
                              <w:rPr>
                                <w:rFonts w:cs="Times New Roman"/>
                              </w:rPr>
                            </w:pPr>
                          </w:p>
                        </w:tc>
                      </w:tr>
                      <w:tr w:rsidR="00C85766" w14:paraId="2955103D" w14:textId="77777777" w:rsidTr="00C85766">
                        <w:tc>
                          <w:tcPr>
                            <w:tcW w:w="9242" w:type="dxa"/>
                            <w:gridSpan w:val="2"/>
                            <w:tcBorders>
                              <w:top w:val="single" w:sz="4" w:space="0" w:color="auto"/>
                              <w:left w:val="single" w:sz="4" w:space="0" w:color="auto"/>
                              <w:bottom w:val="single" w:sz="4" w:space="0" w:color="auto"/>
                              <w:right w:val="single" w:sz="4" w:space="0" w:color="auto"/>
                            </w:tcBorders>
                          </w:tcPr>
                          <w:p w14:paraId="179BDD37" w14:textId="77777777" w:rsidR="00C85766" w:rsidRDefault="00C85766">
                            <w:pPr>
                              <w:spacing w:after="0" w:line="240" w:lineRule="auto"/>
                            </w:pPr>
                            <w:r>
                              <w:rPr>
                                <w:b/>
                              </w:rPr>
                              <w:t>Authors</w:t>
                            </w:r>
                            <w:r>
                              <w:t>:</w:t>
                            </w:r>
                          </w:p>
                          <w:p w14:paraId="51823CDA" w14:textId="207E4D79" w:rsidR="00C85766" w:rsidRDefault="001A3402">
                            <w:pPr>
                              <w:spacing w:after="0" w:line="240" w:lineRule="auto"/>
                            </w:pPr>
                            <w:r>
                              <w:t xml:space="preserve">Vikram Sehgal, Ashwin Sachdeva, Tariq </w:t>
                            </w:r>
                            <w:proofErr w:type="spellStart"/>
                            <w:r>
                              <w:t>Dosani</w:t>
                            </w:r>
                            <w:proofErr w:type="spellEnd"/>
                            <w:r>
                              <w:t xml:space="preserve">, Rahul Gujadhur, Edgar </w:t>
                            </w:r>
                            <w:proofErr w:type="spellStart"/>
                            <w:r>
                              <w:t>Paez</w:t>
                            </w:r>
                            <w:proofErr w:type="spellEnd"/>
                            <w:r>
                              <w:t>, Bhavan Rai, Rajan Veeratterapillay</w:t>
                            </w:r>
                          </w:p>
                          <w:p w14:paraId="0C65680A" w14:textId="77777777" w:rsidR="00C85766" w:rsidRDefault="00C85766">
                            <w:pPr>
                              <w:spacing w:after="0" w:line="240" w:lineRule="auto"/>
                              <w:rPr>
                                <w:rFonts w:cs="Times New Roman"/>
                              </w:rPr>
                            </w:pPr>
                          </w:p>
                        </w:tc>
                      </w:tr>
                      <w:tr w:rsidR="00C85766" w14:paraId="6E6AD29D"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F5CCE60" w14:textId="77777777" w:rsidR="00C85766" w:rsidRDefault="00C85766">
                            <w:pPr>
                              <w:spacing w:after="0" w:line="240" w:lineRule="auto"/>
                            </w:pPr>
                            <w:r>
                              <w:rPr>
                                <w:b/>
                              </w:rPr>
                              <w:t>Aims</w:t>
                            </w:r>
                            <w:r>
                              <w:t>:</w:t>
                            </w:r>
                          </w:p>
                          <w:p w14:paraId="64893D5F" w14:textId="42156B60" w:rsidR="00C85766" w:rsidRDefault="001A3402" w:rsidP="001A3402">
                            <w:pPr>
                              <w:spacing w:after="0" w:line="240" w:lineRule="auto"/>
                            </w:pPr>
                            <w:r>
                              <w:t>T</w:t>
                            </w:r>
                            <w:r w:rsidR="00743169">
                              <w:t>rans-rectal (TR)</w:t>
                            </w:r>
                            <w:r>
                              <w:t xml:space="preserve"> prostate biopsies suffer from high false negative rates, and high incidence of infectious complications requiring the use of broad-spectrum antibiotic prophylaxis. In contrast, the trans</w:t>
                            </w:r>
                            <w:r w:rsidR="00DE6E7C">
                              <w:t>-</w:t>
                            </w:r>
                            <w:r>
                              <w:t>perineal</w:t>
                            </w:r>
                            <w:r w:rsidR="00DE6E7C">
                              <w:t xml:space="preserve"> (TP)</w:t>
                            </w:r>
                            <w:r>
                              <w:t xml:space="preserve"> route enable</w:t>
                            </w:r>
                            <w:r w:rsidR="00743169">
                              <w:t>s</w:t>
                            </w:r>
                            <w:r>
                              <w:t xml:space="preserve"> better sampling of the anterior prostate whilst potentially reducing the </w:t>
                            </w:r>
                            <w:r w:rsidR="00743169">
                              <w:t xml:space="preserve">contamination of the urinary tract with </w:t>
                            </w:r>
                            <w:r>
                              <w:t>faecal flora</w:t>
                            </w:r>
                            <w:r w:rsidR="00743169">
                              <w:t>. We therefore aimed to evaluate the safe transition from TR to TP prostate biopsies at Freeman Hospital.</w:t>
                            </w:r>
                          </w:p>
                          <w:p w14:paraId="73285C53" w14:textId="75554D73" w:rsidR="001A3402" w:rsidRDefault="001A3402" w:rsidP="001A3402">
                            <w:pPr>
                              <w:spacing w:after="0" w:line="240" w:lineRule="auto"/>
                              <w:rPr>
                                <w:rFonts w:cs="Times New Roman"/>
                              </w:rPr>
                            </w:pPr>
                          </w:p>
                        </w:tc>
                      </w:tr>
                      <w:tr w:rsidR="00C85766" w14:paraId="19002E1E"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EB19F" w14:textId="77777777" w:rsidR="00C85766" w:rsidRDefault="00C85766">
                            <w:pPr>
                              <w:spacing w:after="0" w:line="240" w:lineRule="auto"/>
                            </w:pPr>
                            <w:r>
                              <w:rPr>
                                <w:b/>
                              </w:rPr>
                              <w:t>Methods</w:t>
                            </w:r>
                            <w:r>
                              <w:t>:</w:t>
                            </w:r>
                          </w:p>
                          <w:p w14:paraId="1B90D97C" w14:textId="6A6AFD56" w:rsidR="00C85766" w:rsidRDefault="00743169">
                            <w:pPr>
                              <w:spacing w:after="0" w:line="240" w:lineRule="auto"/>
                            </w:pPr>
                            <w:r>
                              <w:t xml:space="preserve">We undertook a retrospective audit </w:t>
                            </w:r>
                            <w:r w:rsidR="00DE6E7C">
                              <w:t>all</w:t>
                            </w:r>
                            <w:r>
                              <w:t xml:space="preserve"> prostate biopsies</w:t>
                            </w:r>
                            <w:r w:rsidR="00DE6E7C">
                              <w:t xml:space="preserve"> undertaken</w:t>
                            </w:r>
                            <w:r>
                              <w:t xml:space="preserve"> over a 3-month period before and after the introduction of a </w:t>
                            </w:r>
                            <w:r w:rsidR="00E57A4F">
                              <w:t>local anaesthetic (LA)</w:t>
                            </w:r>
                            <w:r>
                              <w:t xml:space="preserve"> TP biopsy service. We recorded data regarding either development of urosepsis or urinary retention within 30-days of the procedure by evaluating regional electronic health records.</w:t>
                            </w:r>
                          </w:p>
                          <w:p w14:paraId="1EF430C8" w14:textId="77777777" w:rsidR="00C85766" w:rsidRDefault="00C85766">
                            <w:pPr>
                              <w:spacing w:after="0" w:line="240" w:lineRule="auto"/>
                              <w:rPr>
                                <w:rFonts w:cs="Times New Roman"/>
                              </w:rPr>
                            </w:pPr>
                          </w:p>
                        </w:tc>
                      </w:tr>
                      <w:tr w:rsidR="00C85766" w14:paraId="10C6DD05"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6F5F6FC" w14:textId="77777777" w:rsidR="00C85766" w:rsidRDefault="00C85766">
                            <w:pPr>
                              <w:spacing w:after="0" w:line="240" w:lineRule="auto"/>
                            </w:pPr>
                            <w:r>
                              <w:rPr>
                                <w:b/>
                              </w:rPr>
                              <w:t>Results</w:t>
                            </w:r>
                            <w:r>
                              <w:t>:</w:t>
                            </w:r>
                          </w:p>
                          <w:p w14:paraId="15110355" w14:textId="4D0DD8A9" w:rsidR="00C85766" w:rsidRDefault="00E57A4F">
                            <w:pPr>
                              <w:spacing w:after="0" w:line="240" w:lineRule="auto"/>
                            </w:pPr>
                            <w:r>
                              <w:t>A</w:t>
                            </w:r>
                            <w:r w:rsidR="00743169">
                              <w:t xml:space="preserve"> total of 268 prostate biop</w:t>
                            </w:r>
                            <w:r>
                              <w:t>s</w:t>
                            </w:r>
                            <w:r w:rsidR="00743169">
                              <w:t xml:space="preserve">ies </w:t>
                            </w:r>
                            <w:r>
                              <w:t xml:space="preserve">were </w:t>
                            </w:r>
                            <w:r w:rsidR="00743169">
                              <w:t>undertaken within the cumulative 6-month period. Amongst the 125 patients who underwent TR prostate biopsies, one patient developed urosepsis and none developed urinary retention. In contrast, amongst 142 patients who underwent TP biopsies, none developed either urosepsis or urinary retention at 30-day follow-up.</w:t>
                            </w:r>
                          </w:p>
                          <w:p w14:paraId="48B988EE" w14:textId="77777777" w:rsidR="00C85766" w:rsidRDefault="00C85766">
                            <w:pPr>
                              <w:spacing w:after="0" w:line="240" w:lineRule="auto"/>
                              <w:rPr>
                                <w:rFonts w:cs="Times New Roman"/>
                              </w:rPr>
                            </w:pPr>
                          </w:p>
                        </w:tc>
                      </w:tr>
                      <w:tr w:rsidR="00C85766" w14:paraId="7BC29548"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19B207" w14:textId="77777777" w:rsidR="00C85766" w:rsidRDefault="00C85766">
                            <w:pPr>
                              <w:spacing w:after="0" w:line="240" w:lineRule="auto"/>
                            </w:pPr>
                            <w:r>
                              <w:rPr>
                                <w:b/>
                              </w:rPr>
                              <w:t>Conclusion</w:t>
                            </w:r>
                            <w:r>
                              <w:t>:</w:t>
                            </w:r>
                          </w:p>
                          <w:p w14:paraId="4CCF8CA3" w14:textId="095B7CF3" w:rsidR="00C85766" w:rsidRDefault="00DE6E7C">
                            <w:pPr>
                              <w:spacing w:after="0" w:line="240" w:lineRule="auto"/>
                            </w:pPr>
                            <w:r>
                              <w:t>There was no increase in morbidity during the transition from TR to TP prostate biopsies</w:t>
                            </w:r>
                            <w:r w:rsidR="00E57A4F">
                              <w:t>, confirming the safe introduction of LA TP biopsies.</w:t>
                            </w:r>
                          </w:p>
                          <w:p w14:paraId="515317BD" w14:textId="77777777" w:rsidR="00C85766" w:rsidRDefault="00C85766">
                            <w:pPr>
                              <w:spacing w:after="0" w:line="240" w:lineRule="auto"/>
                              <w:rPr>
                                <w:rFonts w:cs="Times New Roman"/>
                              </w:rPr>
                            </w:pPr>
                          </w:p>
                        </w:tc>
                      </w:tr>
                      <w:tr w:rsidR="00C85766" w14:paraId="7AB68C67" w14:textId="77777777" w:rsidTr="00C8576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2E5F360" w14:textId="77777777" w:rsidR="00C85766" w:rsidRDefault="00C85766">
                            <w:pPr>
                              <w:spacing w:after="0" w:line="240" w:lineRule="auto"/>
                              <w:rPr>
                                <w:rFonts w:cs="Times New Roman"/>
                                <w:sz w:val="28"/>
                                <w:szCs w:val="28"/>
                              </w:rPr>
                            </w:pPr>
                            <w:r>
                              <w:rPr>
                                <w:b/>
                                <w:sz w:val="28"/>
                                <w:szCs w:val="28"/>
                              </w:rPr>
                              <w:t>Total Word Count (max 250)</w:t>
                            </w:r>
                            <w:r>
                              <w:rPr>
                                <w:sz w:val="28"/>
                                <w:szCs w:val="28"/>
                              </w:rPr>
                              <w:t>:</w:t>
                            </w:r>
                          </w:p>
                        </w:tc>
                      </w:tr>
                    </w:tbl>
                    <w:p w14:paraId="4835463A" w14:textId="77777777" w:rsidR="00CF669E" w:rsidRDefault="00CF669E"/>
                  </w:txbxContent>
                </v:textbox>
              </v:shape>
            </w:pict>
          </mc:Fallback>
        </mc:AlternateContent>
      </w:r>
      <w:r w:rsidR="00CF669E" w:rsidRPr="00C85766">
        <w:rPr>
          <w:b/>
          <w:sz w:val="28"/>
          <w:szCs w:val="28"/>
          <w:u w:val="single"/>
        </w:rPr>
        <w:t>NEUS A</w:t>
      </w:r>
      <w:r w:rsidR="00A90C43">
        <w:rPr>
          <w:b/>
          <w:sz w:val="28"/>
          <w:szCs w:val="28"/>
          <w:u w:val="single"/>
        </w:rPr>
        <w:t>BSTRACT SUBMISSION FORM</w:t>
      </w:r>
      <w:r w:rsidR="00A90C43">
        <w:rPr>
          <w:b/>
          <w:sz w:val="28"/>
          <w:szCs w:val="28"/>
          <w:u w:val="single"/>
        </w:rPr>
        <w:tab/>
      </w:r>
      <w:r w:rsidR="00A90C43">
        <w:rPr>
          <w:b/>
          <w:sz w:val="28"/>
          <w:szCs w:val="28"/>
          <w:u w:val="single"/>
        </w:rPr>
        <w:tab/>
      </w:r>
      <w:r w:rsidR="008F02AF">
        <w:rPr>
          <w:b/>
          <w:sz w:val="28"/>
          <w:szCs w:val="28"/>
          <w:u w:val="single"/>
        </w:rPr>
        <w:t xml:space="preserve">       </w:t>
      </w:r>
      <w:r w:rsidR="00A90C43">
        <w:rPr>
          <w:b/>
          <w:sz w:val="28"/>
          <w:szCs w:val="28"/>
          <w:u w:val="single"/>
        </w:rPr>
        <w:tab/>
      </w:r>
      <w:r w:rsidR="008F02AF">
        <w:rPr>
          <w:b/>
          <w:sz w:val="28"/>
          <w:szCs w:val="28"/>
          <w:u w:val="single"/>
        </w:rPr>
        <w:t xml:space="preserve">                        </w:t>
      </w:r>
      <w:r w:rsidR="00A90C43">
        <w:rPr>
          <w:b/>
          <w:sz w:val="28"/>
          <w:szCs w:val="28"/>
          <w:u w:val="single"/>
        </w:rPr>
        <w:t>NEUS</w:t>
      </w:r>
      <w:r w:rsidR="00BC0DC6">
        <w:rPr>
          <w:b/>
          <w:sz w:val="28"/>
          <w:szCs w:val="28"/>
          <w:u w:val="single"/>
        </w:rPr>
        <w:t xml:space="preserve">  </w:t>
      </w:r>
      <w:r w:rsidR="00CF669E" w:rsidRPr="00C85766">
        <w:rPr>
          <w:b/>
          <w:sz w:val="28"/>
          <w:szCs w:val="28"/>
          <w:u w:val="single"/>
        </w:rPr>
        <w:t>20</w:t>
      </w:r>
      <w:r w:rsidR="008F02AF">
        <w:rPr>
          <w:b/>
          <w:sz w:val="28"/>
          <w:szCs w:val="28"/>
          <w:u w:val="single"/>
        </w:rPr>
        <w:t>20</w:t>
      </w:r>
    </w:p>
    <w:p w14:paraId="085CEDB0" w14:textId="77777777" w:rsidR="00CF669E" w:rsidRDefault="00CF669E">
      <w:pPr>
        <w:rPr>
          <w:sz w:val="28"/>
          <w:szCs w:val="28"/>
        </w:rPr>
      </w:pPr>
    </w:p>
    <w:p w14:paraId="70172D89" w14:textId="77777777" w:rsidR="00CF669E" w:rsidRDefault="00CF669E">
      <w:pPr>
        <w:rPr>
          <w:sz w:val="28"/>
          <w:szCs w:val="28"/>
        </w:rPr>
      </w:pPr>
    </w:p>
    <w:p w14:paraId="443ACE3D" w14:textId="77777777" w:rsidR="00CF669E" w:rsidRDefault="00CF669E">
      <w:pPr>
        <w:rPr>
          <w:sz w:val="28"/>
          <w:szCs w:val="28"/>
        </w:rPr>
      </w:pPr>
    </w:p>
    <w:p w14:paraId="1F06E28A" w14:textId="77777777" w:rsidR="00CF669E" w:rsidRDefault="00CF669E">
      <w:pPr>
        <w:rPr>
          <w:sz w:val="28"/>
          <w:szCs w:val="28"/>
        </w:rPr>
      </w:pPr>
    </w:p>
    <w:p w14:paraId="662D7C95" w14:textId="77777777" w:rsidR="00CF669E" w:rsidRDefault="00CF669E">
      <w:pPr>
        <w:rPr>
          <w:sz w:val="28"/>
          <w:szCs w:val="28"/>
        </w:rPr>
      </w:pPr>
    </w:p>
    <w:p w14:paraId="7A113FA9" w14:textId="77777777" w:rsidR="00CF669E" w:rsidRDefault="00CF669E">
      <w:pPr>
        <w:rPr>
          <w:sz w:val="28"/>
          <w:szCs w:val="28"/>
        </w:rPr>
      </w:pPr>
    </w:p>
    <w:p w14:paraId="02C426F1" w14:textId="77777777" w:rsidR="00CF669E" w:rsidRDefault="00CF669E">
      <w:pPr>
        <w:rPr>
          <w:sz w:val="28"/>
          <w:szCs w:val="28"/>
        </w:rPr>
      </w:pPr>
    </w:p>
    <w:p w14:paraId="3A16986F" w14:textId="77777777" w:rsidR="00CF669E" w:rsidRDefault="00CF669E">
      <w:pPr>
        <w:rPr>
          <w:sz w:val="28"/>
          <w:szCs w:val="28"/>
        </w:rPr>
      </w:pPr>
    </w:p>
    <w:p w14:paraId="0FE2AC9A" w14:textId="77777777" w:rsidR="00CF669E" w:rsidRDefault="00CF669E">
      <w:pPr>
        <w:rPr>
          <w:sz w:val="28"/>
          <w:szCs w:val="28"/>
        </w:rPr>
      </w:pPr>
    </w:p>
    <w:p w14:paraId="06044500" w14:textId="77777777" w:rsidR="00C85766" w:rsidRDefault="00C85766">
      <w:pPr>
        <w:rPr>
          <w:sz w:val="28"/>
          <w:szCs w:val="28"/>
        </w:rPr>
      </w:pPr>
    </w:p>
    <w:p w14:paraId="6CD7B530" w14:textId="77777777" w:rsidR="00C85766" w:rsidRDefault="00C85766">
      <w:pPr>
        <w:rPr>
          <w:sz w:val="28"/>
          <w:szCs w:val="28"/>
        </w:rPr>
      </w:pPr>
    </w:p>
    <w:p w14:paraId="2A4EE860" w14:textId="77777777" w:rsidR="00C85766" w:rsidRDefault="00C85766">
      <w:pPr>
        <w:rPr>
          <w:sz w:val="28"/>
          <w:szCs w:val="28"/>
        </w:rPr>
      </w:pPr>
    </w:p>
    <w:p w14:paraId="3035811E" w14:textId="77777777" w:rsidR="00C85766" w:rsidRDefault="00C85766">
      <w:pPr>
        <w:rPr>
          <w:sz w:val="28"/>
          <w:szCs w:val="28"/>
        </w:rPr>
      </w:pPr>
    </w:p>
    <w:p w14:paraId="0FA7385D" w14:textId="77777777" w:rsidR="00C85766" w:rsidRDefault="00C85766">
      <w:pPr>
        <w:rPr>
          <w:sz w:val="28"/>
          <w:szCs w:val="28"/>
        </w:rPr>
      </w:pPr>
    </w:p>
    <w:p w14:paraId="1D2A00CF" w14:textId="77777777" w:rsidR="00C85766" w:rsidRDefault="00C85766">
      <w:pPr>
        <w:rPr>
          <w:sz w:val="28"/>
          <w:szCs w:val="28"/>
        </w:rPr>
      </w:pPr>
    </w:p>
    <w:p w14:paraId="6F6DC170" w14:textId="77777777" w:rsidR="00C85766" w:rsidRDefault="00C85766">
      <w:pPr>
        <w:rPr>
          <w:sz w:val="28"/>
          <w:szCs w:val="28"/>
        </w:rPr>
      </w:pPr>
    </w:p>
    <w:p w14:paraId="60A2E763" w14:textId="77777777" w:rsidR="00C85766" w:rsidRDefault="00C85766">
      <w:pPr>
        <w:rPr>
          <w:sz w:val="28"/>
          <w:szCs w:val="28"/>
        </w:rPr>
      </w:pPr>
    </w:p>
    <w:p w14:paraId="6493AAFD" w14:textId="77777777" w:rsidR="00CF669E" w:rsidRPr="00BF5610" w:rsidRDefault="00CF669E">
      <w:pPr>
        <w:rPr>
          <w:sz w:val="28"/>
          <w:szCs w:val="28"/>
        </w:rPr>
      </w:pPr>
    </w:p>
    <w:p w14:paraId="10138694" w14:textId="77777777" w:rsidR="00C9349A" w:rsidRPr="00BF5610" w:rsidRDefault="00BF5610" w:rsidP="00BF5610">
      <w:pPr>
        <w:jc w:val="center"/>
        <w:rPr>
          <w:b/>
          <w:i/>
          <w:color w:val="FF0000"/>
          <w:sz w:val="28"/>
          <w:szCs w:val="28"/>
        </w:rPr>
      </w:pPr>
      <w:r w:rsidRPr="00C85766">
        <w:rPr>
          <w:b/>
          <w:i/>
          <w:color w:val="5F497A" w:themeColor="accent4" w:themeShade="BF"/>
          <w:sz w:val="28"/>
          <w:szCs w:val="28"/>
        </w:rPr>
        <w:t xml:space="preserve">Please email your completed form to </w:t>
      </w:r>
      <w:r w:rsidR="00C85766">
        <w:rPr>
          <w:b/>
          <w:i/>
          <w:color w:val="5F497A" w:themeColor="accent4" w:themeShade="BF"/>
          <w:sz w:val="28"/>
          <w:szCs w:val="28"/>
        </w:rPr>
        <w:t xml:space="preserve"> </w:t>
      </w:r>
      <w:hyperlink r:id="rId6" w:history="1">
        <w:r w:rsidR="008F02AF" w:rsidRPr="008572EB">
          <w:rPr>
            <w:rStyle w:val="Hyperlink"/>
            <w:b/>
            <w:i/>
            <w:sz w:val="28"/>
            <w:szCs w:val="28"/>
          </w:rPr>
          <w:t>Deborah.wood1@</w:t>
        </w:r>
      </w:hyperlink>
      <w:r w:rsidR="008F02AF">
        <w:rPr>
          <w:rStyle w:val="Hyperlink"/>
          <w:b/>
          <w:i/>
          <w:color w:val="0000BF" w:themeColor="hyperlink" w:themeShade="BF"/>
          <w:sz w:val="28"/>
          <w:szCs w:val="28"/>
        </w:rPr>
        <w:t>nhs.net</w:t>
      </w:r>
      <w:r w:rsidR="00C85766">
        <w:rPr>
          <w:b/>
          <w:i/>
          <w:color w:val="5F497A" w:themeColor="accent4" w:themeShade="BF"/>
          <w:sz w:val="28"/>
          <w:szCs w:val="28"/>
        </w:rPr>
        <w:t xml:space="preserve">         </w:t>
      </w:r>
      <w:r w:rsidR="008F02AF">
        <w:rPr>
          <w:b/>
          <w:i/>
          <w:color w:val="5F497A" w:themeColor="accent4" w:themeShade="BF"/>
          <w:sz w:val="28"/>
          <w:szCs w:val="28"/>
        </w:rPr>
        <w:t xml:space="preserve">            </w:t>
      </w:r>
      <w:r w:rsidR="00C85766">
        <w:rPr>
          <w:b/>
          <w:i/>
          <w:color w:val="5F497A" w:themeColor="accent4" w:themeShade="BF"/>
          <w:sz w:val="28"/>
          <w:szCs w:val="28"/>
        </w:rPr>
        <w:t xml:space="preserve">  (NEUS admin support)</w:t>
      </w:r>
    </w:p>
    <w:sectPr w:rsidR="00C9349A" w:rsidRPr="00BF561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1ADDE" w14:textId="77777777" w:rsidR="00F54525" w:rsidRDefault="00F54525" w:rsidP="00EC12D1">
      <w:pPr>
        <w:spacing w:after="0" w:line="240" w:lineRule="auto"/>
      </w:pPr>
      <w:r>
        <w:separator/>
      </w:r>
    </w:p>
  </w:endnote>
  <w:endnote w:type="continuationSeparator" w:id="0">
    <w:p w14:paraId="5F8B832A" w14:textId="77777777" w:rsidR="00F54525" w:rsidRDefault="00F54525" w:rsidP="00EC1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04FD5" w14:textId="77777777" w:rsidR="00C85766" w:rsidRPr="00DB4D4D" w:rsidRDefault="00C85766" w:rsidP="00C85766">
    <w:pPr>
      <w:pStyle w:val="Footer"/>
      <w:rPr>
        <w:sz w:val="20"/>
        <w:szCs w:val="20"/>
      </w:rPr>
    </w:pPr>
    <w:r>
      <w:rPr>
        <w:noProof/>
        <w:lang w:eastAsia="en-GB"/>
      </w:rPr>
      <w:drawing>
        <wp:inline distT="0" distB="0" distL="0" distR="0" wp14:anchorId="5DCB5A9B" wp14:editId="5D5FC6E5">
          <wp:extent cx="1270660" cy="431883"/>
          <wp:effectExtent l="0" t="0" r="5715" b="635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618" cy="437307"/>
                  </a:xfrm>
                  <a:prstGeom prst="rect">
                    <a:avLst/>
                  </a:prstGeom>
                  <a:noFill/>
                  <a:ln>
                    <a:noFill/>
                  </a:ln>
                </pic:spPr>
              </pic:pic>
            </a:graphicData>
          </a:graphic>
        </wp:inline>
      </w:drawing>
    </w:r>
    <w:r w:rsidRPr="00C85766">
      <w:rPr>
        <w:sz w:val="20"/>
        <w:szCs w:val="20"/>
      </w:rPr>
      <w:t xml:space="preserve"> </w:t>
    </w:r>
    <w:r w:rsidRPr="00DB4D4D">
      <w:rPr>
        <w:sz w:val="20"/>
        <w:szCs w:val="20"/>
      </w:rPr>
      <w:t>Contact: Mr Alistair Rogers (Secretary)  Mrs Deborah Wood (Admin Support)</w:t>
    </w:r>
  </w:p>
  <w:p w14:paraId="32335B72" w14:textId="77777777" w:rsidR="00C85766" w:rsidRPr="00DB4D4D" w:rsidRDefault="008F02AF" w:rsidP="00C85766">
    <w:pPr>
      <w:pStyle w:val="Footer"/>
      <w:rPr>
        <w:sz w:val="20"/>
        <w:szCs w:val="20"/>
      </w:rPr>
    </w:pPr>
    <w:r>
      <w:rPr>
        <w:sz w:val="20"/>
        <w:szCs w:val="20"/>
      </w:rPr>
      <w:tab/>
      <w:t>07502036457   Deborah.wood1@</w:t>
    </w:r>
    <w:r w:rsidR="00C85766" w:rsidRPr="00DB4D4D">
      <w:rPr>
        <w:sz w:val="20"/>
        <w:szCs w:val="20"/>
      </w:rPr>
      <w:t>nhs.</w:t>
    </w:r>
    <w:r>
      <w:rPr>
        <w:sz w:val="20"/>
        <w:szCs w:val="20"/>
      </w:rPr>
      <w:t>net</w:t>
    </w:r>
  </w:p>
  <w:p w14:paraId="7747FFAC" w14:textId="77777777" w:rsidR="00C85766" w:rsidRDefault="00C8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DC417" w14:textId="77777777" w:rsidR="00F54525" w:rsidRDefault="00F54525" w:rsidP="00EC12D1">
      <w:pPr>
        <w:spacing w:after="0" w:line="240" w:lineRule="auto"/>
      </w:pPr>
      <w:r>
        <w:separator/>
      </w:r>
    </w:p>
  </w:footnote>
  <w:footnote w:type="continuationSeparator" w:id="0">
    <w:p w14:paraId="37586632" w14:textId="77777777" w:rsidR="00F54525" w:rsidRDefault="00F54525" w:rsidP="00EC1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9E992" w14:textId="77777777" w:rsidR="00CF669E" w:rsidRDefault="00CF669E">
    <w:pPr>
      <w:pStyle w:val="Header"/>
    </w:pPr>
    <w:r>
      <w:tab/>
    </w:r>
    <w:r>
      <w:tab/>
    </w:r>
    <w:r>
      <w:rPr>
        <w:rFonts w:eastAsia="Times New Roman"/>
        <w:noProof/>
        <w:lang w:eastAsia="en-GB"/>
      </w:rPr>
      <w:drawing>
        <wp:inline distT="0" distB="0" distL="0" distR="0" wp14:anchorId="4377CE98" wp14:editId="663D6EAA">
          <wp:extent cx="2607182" cy="886488"/>
          <wp:effectExtent l="0" t="0" r="3175" b="8890"/>
          <wp:docPr id="1" name="Picture 1" descr="cid:C28803DD-1832-42F6-BEC0-F1C259E4E4B2@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C28803DD-1832-42F6-BEC0-F1C259E4E4B2@Home"/>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2611277" cy="8878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03F2"/>
    <w:rsid w:val="00083B17"/>
    <w:rsid w:val="001169AE"/>
    <w:rsid w:val="001A3402"/>
    <w:rsid w:val="001B78B2"/>
    <w:rsid w:val="002E7E73"/>
    <w:rsid w:val="003333AC"/>
    <w:rsid w:val="003B2135"/>
    <w:rsid w:val="005240D8"/>
    <w:rsid w:val="0058378D"/>
    <w:rsid w:val="00743169"/>
    <w:rsid w:val="008F02AF"/>
    <w:rsid w:val="00A90C43"/>
    <w:rsid w:val="00AA3E19"/>
    <w:rsid w:val="00BC0DC6"/>
    <w:rsid w:val="00BF5610"/>
    <w:rsid w:val="00C85766"/>
    <w:rsid w:val="00C9349A"/>
    <w:rsid w:val="00CC2BC5"/>
    <w:rsid w:val="00CF669E"/>
    <w:rsid w:val="00D37B07"/>
    <w:rsid w:val="00DB4216"/>
    <w:rsid w:val="00DE6E7C"/>
    <w:rsid w:val="00E57A4F"/>
    <w:rsid w:val="00EC12D1"/>
    <w:rsid w:val="00F503F2"/>
    <w:rsid w:val="00F54525"/>
    <w:rsid w:val="00FE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C224"/>
  <w15:docId w15:val="{EB675417-0708-4EF9-AD5F-BA460F09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1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2D1"/>
  </w:style>
  <w:style w:type="paragraph" w:styleId="Footer">
    <w:name w:val="footer"/>
    <w:basedOn w:val="Normal"/>
    <w:link w:val="FooterChar"/>
    <w:uiPriority w:val="99"/>
    <w:unhideWhenUsed/>
    <w:rsid w:val="00EC1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2D1"/>
  </w:style>
  <w:style w:type="paragraph" w:styleId="BalloonText">
    <w:name w:val="Balloon Text"/>
    <w:basedOn w:val="Normal"/>
    <w:link w:val="BalloonTextChar"/>
    <w:uiPriority w:val="99"/>
    <w:semiHidden/>
    <w:unhideWhenUsed/>
    <w:rsid w:val="00EC1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2D1"/>
    <w:rPr>
      <w:rFonts w:ascii="Tahoma" w:hAnsi="Tahoma" w:cs="Tahoma"/>
      <w:sz w:val="16"/>
      <w:szCs w:val="16"/>
    </w:rPr>
  </w:style>
  <w:style w:type="character" w:styleId="Hyperlink">
    <w:name w:val="Hyperlink"/>
    <w:basedOn w:val="DefaultParagraphFont"/>
    <w:uiPriority w:val="99"/>
    <w:unhideWhenUsed/>
    <w:rsid w:val="00C934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75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borah.wood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cid:C28803DD-1832-42F6-BEC0-F1C259E4E4B2@Hom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200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Garthwaite Mary (RTR) South Tees NHS Trust</dc:creator>
  <cp:lastModifiedBy>Debbie Wood</cp:lastModifiedBy>
  <cp:revision>2</cp:revision>
  <dcterms:created xsi:type="dcterms:W3CDTF">2020-11-07T11:42:00Z</dcterms:created>
  <dcterms:modified xsi:type="dcterms:W3CDTF">2020-11-07T11:42:00Z</dcterms:modified>
</cp:coreProperties>
</file>