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3466" w:rsidRDefault="00D33466" w:rsidP="00D33466">
      <w:pPr>
        <w:tabs>
          <w:tab w:val="left" w:pos="1830"/>
        </w:tabs>
        <w:rPr>
          <w:b/>
          <w:sz w:val="36"/>
          <w:szCs w:val="28"/>
        </w:rPr>
      </w:pPr>
    </w:p>
    <w:p w:rsidR="00D33466" w:rsidRDefault="00D33466" w:rsidP="00D33466">
      <w:pPr>
        <w:tabs>
          <w:tab w:val="left" w:pos="1830"/>
        </w:tabs>
        <w:rPr>
          <w:b/>
          <w:sz w:val="36"/>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8"/>
        <w:gridCol w:w="3367"/>
      </w:tblGrid>
      <w:tr w:rsidR="00D33466" w:rsidRPr="007B6E69" w:rsidTr="00D33466">
        <w:tc>
          <w:tcPr>
            <w:tcW w:w="5178" w:type="dxa"/>
            <w:tcBorders>
              <w:top w:val="single" w:sz="4" w:space="0" w:color="auto"/>
              <w:left w:val="single" w:sz="4" w:space="0" w:color="auto"/>
              <w:bottom w:val="single" w:sz="4" w:space="0" w:color="auto"/>
              <w:right w:val="single" w:sz="4" w:space="0" w:color="auto"/>
            </w:tcBorders>
          </w:tcPr>
          <w:p w:rsidR="00D33466" w:rsidRPr="007B6E69" w:rsidRDefault="00D33466" w:rsidP="00D33466">
            <w:pPr>
              <w:spacing w:after="0" w:line="240" w:lineRule="auto"/>
              <w:rPr>
                <w:sz w:val="18"/>
                <w:szCs w:val="18"/>
              </w:rPr>
            </w:pPr>
            <w:r w:rsidRPr="007B6E69">
              <w:rPr>
                <w:b/>
                <w:sz w:val="18"/>
                <w:szCs w:val="18"/>
              </w:rPr>
              <w:t>Name of Presenter</w:t>
            </w:r>
            <w:r w:rsidRPr="007B6E69">
              <w:rPr>
                <w:sz w:val="18"/>
                <w:szCs w:val="18"/>
              </w:rPr>
              <w:t xml:space="preserve">: Ashika </w:t>
            </w:r>
            <w:proofErr w:type="spellStart"/>
            <w:r w:rsidRPr="007B6E69">
              <w:rPr>
                <w:sz w:val="18"/>
                <w:szCs w:val="18"/>
              </w:rPr>
              <w:t>Dhondee</w:t>
            </w:r>
            <w:proofErr w:type="spellEnd"/>
          </w:p>
          <w:p w:rsidR="00D33466" w:rsidRPr="007B6E69" w:rsidRDefault="00D33466" w:rsidP="00D33466">
            <w:pPr>
              <w:spacing w:after="0" w:line="240" w:lineRule="auto"/>
              <w:rPr>
                <w:rFonts w:cs="Times New Roman"/>
                <w:sz w:val="18"/>
                <w:szCs w:val="18"/>
              </w:rPr>
            </w:pPr>
          </w:p>
        </w:tc>
        <w:tc>
          <w:tcPr>
            <w:tcW w:w="3367" w:type="dxa"/>
            <w:tcBorders>
              <w:top w:val="single" w:sz="4" w:space="0" w:color="auto"/>
              <w:left w:val="single" w:sz="4" w:space="0" w:color="auto"/>
              <w:bottom w:val="single" w:sz="4" w:space="0" w:color="auto"/>
              <w:right w:val="single" w:sz="4" w:space="0" w:color="auto"/>
            </w:tcBorders>
            <w:hideMark/>
          </w:tcPr>
          <w:p w:rsidR="00D33466" w:rsidRPr="007B6E69" w:rsidRDefault="00D33466" w:rsidP="00D33466">
            <w:pPr>
              <w:spacing w:after="0" w:line="240" w:lineRule="auto"/>
              <w:rPr>
                <w:rFonts w:cs="Times New Roman"/>
                <w:sz w:val="18"/>
                <w:szCs w:val="18"/>
              </w:rPr>
            </w:pPr>
            <w:r w:rsidRPr="007B6E69">
              <w:rPr>
                <w:b/>
                <w:sz w:val="18"/>
                <w:szCs w:val="18"/>
              </w:rPr>
              <w:t>Training grade/post</w:t>
            </w:r>
            <w:r w:rsidRPr="007B6E69">
              <w:rPr>
                <w:sz w:val="18"/>
                <w:szCs w:val="18"/>
              </w:rPr>
              <w:t>:</w:t>
            </w:r>
            <w:r>
              <w:rPr>
                <w:sz w:val="18"/>
                <w:szCs w:val="18"/>
              </w:rPr>
              <w:t xml:space="preserve"> CT2</w:t>
            </w:r>
          </w:p>
        </w:tc>
      </w:tr>
      <w:tr w:rsidR="00D33466" w:rsidRPr="007B6E69" w:rsidTr="00D33466">
        <w:tc>
          <w:tcPr>
            <w:tcW w:w="8545" w:type="dxa"/>
            <w:gridSpan w:val="2"/>
            <w:tcBorders>
              <w:top w:val="single" w:sz="4" w:space="0" w:color="auto"/>
              <w:left w:val="single" w:sz="4" w:space="0" w:color="auto"/>
              <w:bottom w:val="single" w:sz="4" w:space="0" w:color="auto"/>
              <w:right w:val="single" w:sz="4" w:space="0" w:color="auto"/>
            </w:tcBorders>
          </w:tcPr>
          <w:p w:rsidR="00D33466" w:rsidRPr="007B6E69" w:rsidRDefault="00D33466" w:rsidP="00D33466">
            <w:pPr>
              <w:spacing w:after="0" w:line="240" w:lineRule="auto"/>
              <w:rPr>
                <w:sz w:val="18"/>
                <w:szCs w:val="18"/>
              </w:rPr>
            </w:pPr>
            <w:r w:rsidRPr="007B6E69">
              <w:rPr>
                <w:b/>
                <w:sz w:val="18"/>
                <w:szCs w:val="18"/>
              </w:rPr>
              <w:t>Institution</w:t>
            </w:r>
            <w:r w:rsidRPr="007B6E69">
              <w:rPr>
                <w:sz w:val="18"/>
                <w:szCs w:val="18"/>
              </w:rPr>
              <w:t>:</w:t>
            </w:r>
            <w:r>
              <w:rPr>
                <w:sz w:val="18"/>
                <w:szCs w:val="18"/>
              </w:rPr>
              <w:t xml:space="preserve"> </w:t>
            </w:r>
            <w:r>
              <w:rPr>
                <w:rFonts w:cs="Times New Roman"/>
                <w:sz w:val="18"/>
                <w:szCs w:val="18"/>
              </w:rPr>
              <w:t>Freeman Hospital</w:t>
            </w:r>
          </w:p>
        </w:tc>
      </w:tr>
      <w:tr w:rsidR="00D33466" w:rsidRPr="007B6E69" w:rsidTr="00D33466">
        <w:tc>
          <w:tcPr>
            <w:tcW w:w="8545" w:type="dxa"/>
            <w:gridSpan w:val="2"/>
            <w:tcBorders>
              <w:top w:val="single" w:sz="4" w:space="0" w:color="auto"/>
              <w:left w:val="single" w:sz="4" w:space="0" w:color="auto"/>
              <w:bottom w:val="single" w:sz="4" w:space="0" w:color="auto"/>
              <w:right w:val="single" w:sz="4" w:space="0" w:color="auto"/>
            </w:tcBorders>
          </w:tcPr>
          <w:p w:rsidR="00D33466" w:rsidRPr="007B6E69" w:rsidRDefault="00D33466" w:rsidP="00D33466">
            <w:pPr>
              <w:spacing w:after="0" w:line="240" w:lineRule="auto"/>
              <w:rPr>
                <w:sz w:val="18"/>
                <w:szCs w:val="18"/>
              </w:rPr>
            </w:pPr>
            <w:r w:rsidRPr="007B6E69">
              <w:rPr>
                <w:b/>
                <w:sz w:val="18"/>
                <w:szCs w:val="18"/>
              </w:rPr>
              <w:t>Title of Presentation</w:t>
            </w:r>
            <w:r w:rsidRPr="007B6E69">
              <w:rPr>
                <w:sz w:val="18"/>
                <w:szCs w:val="18"/>
              </w:rPr>
              <w:t>:</w:t>
            </w:r>
          </w:p>
          <w:p w:rsidR="00D33466" w:rsidRPr="007B6E69" w:rsidRDefault="00D33466" w:rsidP="00D33466">
            <w:pPr>
              <w:spacing w:after="0" w:line="240" w:lineRule="auto"/>
              <w:rPr>
                <w:sz w:val="18"/>
                <w:szCs w:val="18"/>
              </w:rPr>
            </w:pPr>
            <w:r w:rsidRPr="007B6E69">
              <w:rPr>
                <w:sz w:val="18"/>
                <w:szCs w:val="18"/>
              </w:rPr>
              <w:t>Audit on Pain management of renal colic patients</w:t>
            </w:r>
          </w:p>
        </w:tc>
      </w:tr>
      <w:tr w:rsidR="00D33466" w:rsidRPr="007B6E69" w:rsidTr="00D33466">
        <w:tc>
          <w:tcPr>
            <w:tcW w:w="8545" w:type="dxa"/>
            <w:gridSpan w:val="2"/>
            <w:tcBorders>
              <w:top w:val="single" w:sz="4" w:space="0" w:color="auto"/>
              <w:left w:val="single" w:sz="4" w:space="0" w:color="auto"/>
              <w:bottom w:val="single" w:sz="4" w:space="0" w:color="auto"/>
              <w:right w:val="single" w:sz="4" w:space="0" w:color="auto"/>
            </w:tcBorders>
          </w:tcPr>
          <w:p w:rsidR="00D33466" w:rsidRPr="007B6E69" w:rsidRDefault="00D33466" w:rsidP="00D33466">
            <w:pPr>
              <w:spacing w:after="0" w:line="240" w:lineRule="auto"/>
              <w:rPr>
                <w:sz w:val="18"/>
                <w:szCs w:val="18"/>
              </w:rPr>
            </w:pPr>
            <w:r w:rsidRPr="007B6E69">
              <w:rPr>
                <w:b/>
                <w:sz w:val="18"/>
                <w:szCs w:val="18"/>
              </w:rPr>
              <w:t>Authors</w:t>
            </w:r>
            <w:r w:rsidRPr="007B6E69">
              <w:rPr>
                <w:sz w:val="18"/>
                <w:szCs w:val="18"/>
              </w:rPr>
              <w:t>:</w:t>
            </w:r>
          </w:p>
          <w:p w:rsidR="00D33466" w:rsidRPr="007B6E69" w:rsidRDefault="00D33466" w:rsidP="00D33466">
            <w:pPr>
              <w:spacing w:after="0" w:line="240" w:lineRule="auto"/>
              <w:rPr>
                <w:sz w:val="18"/>
                <w:szCs w:val="18"/>
              </w:rPr>
            </w:pPr>
            <w:r w:rsidRPr="007B6E69">
              <w:rPr>
                <w:sz w:val="18"/>
                <w:szCs w:val="18"/>
              </w:rPr>
              <w:t xml:space="preserve">Ashika </w:t>
            </w:r>
            <w:proofErr w:type="spellStart"/>
            <w:r w:rsidRPr="007B6E69">
              <w:rPr>
                <w:sz w:val="18"/>
                <w:szCs w:val="18"/>
              </w:rPr>
              <w:t>Dhondee</w:t>
            </w:r>
            <w:proofErr w:type="spellEnd"/>
            <w:r w:rsidRPr="007B6E69">
              <w:rPr>
                <w:sz w:val="18"/>
                <w:szCs w:val="18"/>
              </w:rPr>
              <w:t>,</w:t>
            </w:r>
            <w:r>
              <w:rPr>
                <w:sz w:val="18"/>
                <w:szCs w:val="18"/>
              </w:rPr>
              <w:t xml:space="preserve"> Megan Rosser,</w:t>
            </w:r>
            <w:r w:rsidRPr="007B6E69">
              <w:rPr>
                <w:sz w:val="18"/>
                <w:szCs w:val="18"/>
              </w:rPr>
              <w:t xml:space="preserve"> Rajan </w:t>
            </w:r>
            <w:proofErr w:type="spellStart"/>
            <w:r w:rsidRPr="007B6E69">
              <w:rPr>
                <w:sz w:val="18"/>
                <w:szCs w:val="18"/>
              </w:rPr>
              <w:t>Veeraterapillay</w:t>
            </w:r>
            <w:proofErr w:type="spellEnd"/>
            <w:r w:rsidRPr="007B6E69">
              <w:rPr>
                <w:sz w:val="18"/>
                <w:szCs w:val="18"/>
              </w:rPr>
              <w:t xml:space="preserve"> </w:t>
            </w:r>
          </w:p>
          <w:p w:rsidR="00D33466" w:rsidRPr="007B6E69" w:rsidRDefault="00D33466" w:rsidP="00D33466">
            <w:pPr>
              <w:spacing w:after="0" w:line="240" w:lineRule="auto"/>
              <w:rPr>
                <w:rFonts w:cs="Times New Roman"/>
                <w:sz w:val="18"/>
                <w:szCs w:val="18"/>
              </w:rPr>
            </w:pPr>
          </w:p>
        </w:tc>
      </w:tr>
      <w:tr w:rsidR="00D33466" w:rsidRPr="007B6E69" w:rsidTr="00D33466">
        <w:tc>
          <w:tcPr>
            <w:tcW w:w="8545"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Pr="007B6E69" w:rsidRDefault="00D33466" w:rsidP="00D33466">
            <w:pPr>
              <w:spacing w:after="0" w:line="240" w:lineRule="auto"/>
              <w:rPr>
                <w:sz w:val="18"/>
                <w:szCs w:val="18"/>
              </w:rPr>
            </w:pPr>
            <w:r w:rsidRPr="007B6E69">
              <w:rPr>
                <w:b/>
                <w:sz w:val="18"/>
                <w:szCs w:val="18"/>
              </w:rPr>
              <w:t>Aims</w:t>
            </w:r>
            <w:r w:rsidRPr="007B6E69">
              <w:rPr>
                <w:sz w:val="18"/>
                <w:szCs w:val="18"/>
              </w:rPr>
              <w:t>:</w:t>
            </w:r>
          </w:p>
          <w:p w:rsidR="00D33466" w:rsidRPr="007B6E69" w:rsidRDefault="00D33466" w:rsidP="00D33466">
            <w:pPr>
              <w:spacing w:after="0" w:line="240" w:lineRule="auto"/>
              <w:rPr>
                <w:sz w:val="18"/>
                <w:szCs w:val="18"/>
              </w:rPr>
            </w:pPr>
            <w:r w:rsidRPr="007B6E69">
              <w:rPr>
                <w:sz w:val="18"/>
                <w:szCs w:val="18"/>
              </w:rPr>
              <w:t xml:space="preserve">The lifetime prevalence of renal colic is 10%–15% and accounts for millions of patient hospital visits and </w:t>
            </w:r>
            <w:r>
              <w:rPr>
                <w:sz w:val="18"/>
                <w:szCs w:val="18"/>
              </w:rPr>
              <w:t xml:space="preserve">the pain </w:t>
            </w:r>
            <w:r w:rsidRPr="007B6E69">
              <w:rPr>
                <w:sz w:val="18"/>
                <w:szCs w:val="18"/>
              </w:rPr>
              <w:t>is often described as the ‘worst pain ever experienced’.  This study aimed to assess the compliance of pain management for patients admitted with renal colic against the National Institute for Health and Care Excellence (NICE) guidelines (NG118)</w:t>
            </w:r>
            <w:r>
              <w:rPr>
                <w:sz w:val="18"/>
                <w:szCs w:val="18"/>
              </w:rPr>
              <w:t xml:space="preserve">. We </w:t>
            </w:r>
            <w:r w:rsidRPr="007B6E69">
              <w:rPr>
                <w:sz w:val="18"/>
                <w:szCs w:val="18"/>
              </w:rPr>
              <w:t>primarily focuss</w:t>
            </w:r>
            <w:r>
              <w:rPr>
                <w:sz w:val="18"/>
                <w:szCs w:val="18"/>
              </w:rPr>
              <w:t xml:space="preserve">ed </w:t>
            </w:r>
            <w:r w:rsidRPr="007B6E69">
              <w:rPr>
                <w:sz w:val="18"/>
                <w:szCs w:val="18"/>
              </w:rPr>
              <w:t xml:space="preserve">on appropriate administration of </w:t>
            </w:r>
            <w:r>
              <w:rPr>
                <w:sz w:val="18"/>
                <w:szCs w:val="18"/>
              </w:rPr>
              <w:t xml:space="preserve">first-line </w:t>
            </w:r>
            <w:r w:rsidRPr="007B6E69">
              <w:rPr>
                <w:sz w:val="18"/>
                <w:szCs w:val="18"/>
              </w:rPr>
              <w:t>analgesia, including non-steroidal anti-inflammatory drugs (NSAIDs), intravenous (IV) paracetamol, and opioids.</w:t>
            </w:r>
          </w:p>
          <w:p w:rsidR="00D33466" w:rsidRPr="007B6E69" w:rsidRDefault="00D33466" w:rsidP="00D33466">
            <w:pPr>
              <w:spacing w:after="0" w:line="240" w:lineRule="auto"/>
              <w:rPr>
                <w:sz w:val="18"/>
                <w:szCs w:val="18"/>
              </w:rPr>
            </w:pPr>
          </w:p>
          <w:p w:rsidR="00D33466" w:rsidRPr="007B6E69" w:rsidRDefault="00D33466" w:rsidP="00D33466">
            <w:pPr>
              <w:spacing w:after="0" w:line="240" w:lineRule="auto"/>
              <w:rPr>
                <w:rFonts w:cs="Times New Roman"/>
                <w:sz w:val="18"/>
                <w:szCs w:val="18"/>
              </w:rPr>
            </w:pPr>
          </w:p>
        </w:tc>
      </w:tr>
      <w:tr w:rsidR="00D33466" w:rsidRPr="007B6E69" w:rsidTr="00D33466">
        <w:tc>
          <w:tcPr>
            <w:tcW w:w="8545"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Pr="007B6E69" w:rsidRDefault="00D33466" w:rsidP="00D33466">
            <w:pPr>
              <w:spacing w:after="0" w:line="240" w:lineRule="auto"/>
              <w:rPr>
                <w:sz w:val="18"/>
                <w:szCs w:val="18"/>
              </w:rPr>
            </w:pPr>
            <w:r w:rsidRPr="007B6E69">
              <w:rPr>
                <w:b/>
                <w:sz w:val="18"/>
                <w:szCs w:val="18"/>
              </w:rPr>
              <w:t>Methods</w:t>
            </w:r>
            <w:r w:rsidRPr="007B6E69">
              <w:rPr>
                <w:sz w:val="18"/>
                <w:szCs w:val="18"/>
              </w:rPr>
              <w:t>:</w:t>
            </w:r>
          </w:p>
          <w:p w:rsidR="00D33466" w:rsidRPr="007B6E69" w:rsidRDefault="00D33466" w:rsidP="00D33466">
            <w:pPr>
              <w:rPr>
                <w:sz w:val="18"/>
                <w:szCs w:val="18"/>
              </w:rPr>
            </w:pPr>
            <w:r>
              <w:rPr>
                <w:sz w:val="18"/>
                <w:szCs w:val="18"/>
              </w:rPr>
              <w:t>We retrospectively examined the</w:t>
            </w:r>
            <w:r w:rsidRPr="007B6E69">
              <w:rPr>
                <w:sz w:val="18"/>
                <w:szCs w:val="18"/>
              </w:rPr>
              <w:t xml:space="preserve"> patients admitted with renal colic from May 24 to June 24. Data were collected from </w:t>
            </w:r>
            <w:proofErr w:type="spellStart"/>
            <w:r w:rsidRPr="007B6E69">
              <w:rPr>
                <w:sz w:val="18"/>
                <w:szCs w:val="18"/>
              </w:rPr>
              <w:t>PowerChart</w:t>
            </w:r>
            <w:proofErr w:type="spellEnd"/>
            <w:r w:rsidRPr="007B6E69">
              <w:rPr>
                <w:sz w:val="18"/>
                <w:szCs w:val="18"/>
              </w:rPr>
              <w:t xml:space="preserve">, focussing on </w:t>
            </w:r>
            <w:r>
              <w:rPr>
                <w:sz w:val="18"/>
                <w:szCs w:val="18"/>
              </w:rPr>
              <w:t xml:space="preserve">first line </w:t>
            </w:r>
            <w:r w:rsidRPr="007B6E69">
              <w:rPr>
                <w:sz w:val="18"/>
                <w:szCs w:val="18"/>
              </w:rPr>
              <w:t>medications</w:t>
            </w:r>
            <w:r>
              <w:rPr>
                <w:sz w:val="18"/>
                <w:szCs w:val="18"/>
              </w:rPr>
              <w:t xml:space="preserve"> prescribed and their frequency</w:t>
            </w:r>
            <w:r w:rsidRPr="007B6E69">
              <w:rPr>
                <w:sz w:val="18"/>
                <w:szCs w:val="18"/>
              </w:rPr>
              <w:t>. A total of 84 patients were identified. Six patients with documented contraindications were excluded.</w:t>
            </w:r>
          </w:p>
          <w:p w:rsidR="00D33466" w:rsidRPr="007B6E69" w:rsidRDefault="00D33466" w:rsidP="00D33466">
            <w:pPr>
              <w:spacing w:after="0" w:line="240" w:lineRule="auto"/>
              <w:rPr>
                <w:rFonts w:cs="Times New Roman"/>
                <w:sz w:val="18"/>
                <w:szCs w:val="18"/>
              </w:rPr>
            </w:pPr>
          </w:p>
        </w:tc>
      </w:tr>
      <w:tr w:rsidR="00D33466" w:rsidRPr="007B6E69" w:rsidTr="00D33466">
        <w:tc>
          <w:tcPr>
            <w:tcW w:w="8545"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Pr="007B6E69" w:rsidRDefault="00D33466" w:rsidP="00D33466">
            <w:pPr>
              <w:spacing w:after="0" w:line="240" w:lineRule="auto"/>
              <w:rPr>
                <w:sz w:val="18"/>
                <w:szCs w:val="18"/>
              </w:rPr>
            </w:pPr>
            <w:r w:rsidRPr="007B6E69">
              <w:rPr>
                <w:b/>
                <w:sz w:val="18"/>
                <w:szCs w:val="18"/>
              </w:rPr>
              <w:t>Results</w:t>
            </w:r>
            <w:r w:rsidRPr="007B6E69">
              <w:rPr>
                <w:sz w:val="18"/>
                <w:szCs w:val="18"/>
              </w:rPr>
              <w:t>:</w:t>
            </w:r>
          </w:p>
          <w:p w:rsidR="00D33466" w:rsidRPr="007B6E69" w:rsidRDefault="00D33466" w:rsidP="00D33466">
            <w:pPr>
              <w:rPr>
                <w:sz w:val="18"/>
                <w:szCs w:val="18"/>
              </w:rPr>
            </w:pPr>
            <w:r w:rsidRPr="007B6E69">
              <w:rPr>
                <w:sz w:val="18"/>
                <w:szCs w:val="18"/>
              </w:rPr>
              <w:t xml:space="preserve">None of the standards were fully met.  68% of patients were offered NSAIDs as first-line treatment, instead of the 100% guideline standard. Only 18% of patients received IV paracetamol and 81% received opioids. The most common analgesic given was NSAID (53 patients), but only 12 received it regularly. Similarly, while 63 patients were prescribed opioids, none were prescribed on a regular basis. Two patients were subsequently referred to the pain team.  </w:t>
            </w:r>
          </w:p>
        </w:tc>
      </w:tr>
      <w:tr w:rsidR="00D33466" w:rsidRPr="007B6E69" w:rsidTr="00D33466">
        <w:tc>
          <w:tcPr>
            <w:tcW w:w="8545"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Pr="007B6E69" w:rsidRDefault="00D33466" w:rsidP="00D33466">
            <w:pPr>
              <w:spacing w:after="0" w:line="240" w:lineRule="auto"/>
              <w:rPr>
                <w:sz w:val="18"/>
                <w:szCs w:val="18"/>
              </w:rPr>
            </w:pPr>
            <w:r w:rsidRPr="007B6E69">
              <w:rPr>
                <w:b/>
                <w:sz w:val="18"/>
                <w:szCs w:val="18"/>
              </w:rPr>
              <w:t>Conclusion</w:t>
            </w:r>
            <w:r w:rsidRPr="007B6E69">
              <w:rPr>
                <w:sz w:val="18"/>
                <w:szCs w:val="18"/>
              </w:rPr>
              <w:t>:</w:t>
            </w:r>
          </w:p>
          <w:p w:rsidR="00D33466" w:rsidRPr="007B6E69" w:rsidRDefault="00D33466" w:rsidP="00D33466">
            <w:pPr>
              <w:rPr>
                <w:sz w:val="18"/>
                <w:szCs w:val="18"/>
              </w:rPr>
            </w:pPr>
            <w:r w:rsidRPr="007B6E69">
              <w:rPr>
                <w:sz w:val="18"/>
                <w:szCs w:val="18"/>
              </w:rPr>
              <w:t xml:space="preserve">Compliance with NICE guidelines for renal colic pain management was substandard, with only 68% receiving NSAIDs as first-line treatment and 81% receiving opioids. As a result, we have created an order set for renal colic analgesia on </w:t>
            </w:r>
            <w:proofErr w:type="spellStart"/>
            <w:r w:rsidRPr="007B6E69">
              <w:rPr>
                <w:sz w:val="18"/>
                <w:szCs w:val="18"/>
              </w:rPr>
              <w:t>Powerchart</w:t>
            </w:r>
            <w:proofErr w:type="spellEnd"/>
            <w:r w:rsidRPr="007B6E69">
              <w:rPr>
                <w:sz w:val="18"/>
                <w:szCs w:val="18"/>
              </w:rPr>
              <w:t xml:space="preserve"> to facilitate medication prescription, and made education efforts to target prescribers. A re-audit </w:t>
            </w:r>
            <w:proofErr w:type="gramStart"/>
            <w:r w:rsidRPr="007B6E69">
              <w:rPr>
                <w:sz w:val="18"/>
                <w:szCs w:val="18"/>
              </w:rPr>
              <w:t>is planned</w:t>
            </w:r>
            <w:proofErr w:type="gramEnd"/>
            <w:r w:rsidRPr="007B6E69">
              <w:rPr>
                <w:sz w:val="18"/>
                <w:szCs w:val="18"/>
              </w:rPr>
              <w:t xml:space="preserve"> following these interventions. </w:t>
            </w:r>
          </w:p>
        </w:tc>
      </w:tr>
    </w:tbl>
    <w:p w:rsidR="00D33466" w:rsidRDefault="00D33466" w:rsidP="00D33466">
      <w:pPr>
        <w:tabs>
          <w:tab w:val="left" w:pos="1830"/>
        </w:tabs>
      </w:pPr>
    </w:p>
    <w:p w:rsidR="00D33466" w:rsidRDefault="00D33466" w:rsidP="00D33466">
      <w:pPr>
        <w:tabs>
          <w:tab w:val="left" w:pos="1830"/>
        </w:tabs>
      </w:pPr>
    </w:p>
    <w:p w:rsidR="00D33466" w:rsidRDefault="00D33466" w:rsidP="00D33466">
      <w:pPr>
        <w:tabs>
          <w:tab w:val="left" w:pos="1830"/>
        </w:tabs>
      </w:pPr>
    </w:p>
    <w:p w:rsidR="00D33466" w:rsidRDefault="00D33466" w:rsidP="00D33466">
      <w:pPr>
        <w:tabs>
          <w:tab w:val="left" w:pos="1830"/>
        </w:tabs>
      </w:pPr>
    </w:p>
    <w:p w:rsidR="00D33466" w:rsidRDefault="00D33466" w:rsidP="00D33466">
      <w:pPr>
        <w:tabs>
          <w:tab w:val="left" w:pos="1830"/>
        </w:tabs>
      </w:pPr>
    </w:p>
    <w:p w:rsidR="00D33466" w:rsidRDefault="00D33466" w:rsidP="00D33466">
      <w:pPr>
        <w:tabs>
          <w:tab w:val="left" w:pos="1830"/>
        </w:tabs>
      </w:pPr>
    </w:p>
    <w:p w:rsidR="00D33466" w:rsidRDefault="00D33466" w:rsidP="00D33466">
      <w:pPr>
        <w:tabs>
          <w:tab w:val="left" w:pos="1830"/>
        </w:tabs>
      </w:pPr>
    </w:p>
    <w:p w:rsidR="00D33466" w:rsidRDefault="00D33466" w:rsidP="00D33466">
      <w:pPr>
        <w:tabs>
          <w:tab w:val="left" w:pos="1830"/>
        </w:tabs>
      </w:pPr>
    </w:p>
    <w:p w:rsidR="00D33466" w:rsidRDefault="00D33466" w:rsidP="00D33466">
      <w:pPr>
        <w:tabs>
          <w:tab w:val="left" w:pos="1830"/>
        </w:tabs>
      </w:pPr>
    </w:p>
    <w:p w:rsidR="00D33466" w:rsidRDefault="00D33466" w:rsidP="00D33466">
      <w:pPr>
        <w:tabs>
          <w:tab w:val="left" w:pos="183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8"/>
        <w:gridCol w:w="3528"/>
      </w:tblGrid>
      <w:tr w:rsidR="00D33466" w:rsidTr="00EC2E3B">
        <w:tc>
          <w:tcPr>
            <w:tcW w:w="5488" w:type="dxa"/>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pPr>
            <w:r>
              <w:rPr>
                <w:b/>
              </w:rPr>
              <w:t>Name of Presenter</w:t>
            </w:r>
            <w:r>
              <w:t>:</w:t>
            </w:r>
          </w:p>
          <w:p w:rsidR="00D33466" w:rsidRDefault="00D33466" w:rsidP="00D33466">
            <w:pPr>
              <w:spacing w:after="0" w:line="240" w:lineRule="auto"/>
              <w:rPr>
                <w:rFonts w:cs="Times New Roman"/>
              </w:rPr>
            </w:pPr>
            <w:r>
              <w:rPr>
                <w:rFonts w:cs="Times New Roman"/>
              </w:rPr>
              <w:t xml:space="preserve">Ahmed </w:t>
            </w:r>
            <w:proofErr w:type="spellStart"/>
            <w:r>
              <w:rPr>
                <w:rFonts w:cs="Times New Roman"/>
              </w:rPr>
              <w:t>Ghonaimy</w:t>
            </w:r>
            <w:proofErr w:type="spellEnd"/>
          </w:p>
        </w:tc>
        <w:tc>
          <w:tcPr>
            <w:tcW w:w="3528" w:type="dxa"/>
            <w:tcBorders>
              <w:top w:val="single" w:sz="4" w:space="0" w:color="auto"/>
              <w:left w:val="single" w:sz="4" w:space="0" w:color="auto"/>
              <w:bottom w:val="single" w:sz="4" w:space="0" w:color="auto"/>
              <w:right w:val="single" w:sz="4" w:space="0" w:color="auto"/>
            </w:tcBorders>
            <w:hideMark/>
          </w:tcPr>
          <w:p w:rsidR="00D33466" w:rsidRDefault="00D33466" w:rsidP="00D33466">
            <w:pPr>
              <w:spacing w:after="0" w:line="240" w:lineRule="auto"/>
            </w:pPr>
            <w:r>
              <w:rPr>
                <w:b/>
              </w:rPr>
              <w:t>Training grade/post</w:t>
            </w:r>
            <w:r>
              <w:t>:</w:t>
            </w:r>
          </w:p>
          <w:p w:rsidR="00D33466" w:rsidRDefault="00D33466" w:rsidP="00D33466">
            <w:pPr>
              <w:spacing w:after="0" w:line="240" w:lineRule="auto"/>
              <w:rPr>
                <w:rFonts w:cs="Times New Roman"/>
              </w:rPr>
            </w:pPr>
            <w:r>
              <w:t>Clinical Research Fellow</w:t>
            </w:r>
          </w:p>
        </w:tc>
      </w:tr>
      <w:tr w:rsidR="00D33466" w:rsidTr="00EC2E3B">
        <w:tc>
          <w:tcPr>
            <w:tcW w:w="9016" w:type="dxa"/>
            <w:gridSpan w:val="2"/>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pPr>
            <w:r>
              <w:rPr>
                <w:b/>
              </w:rPr>
              <w:t>Institution</w:t>
            </w:r>
            <w:r>
              <w:t>:</w:t>
            </w:r>
          </w:p>
          <w:p w:rsidR="00D33466" w:rsidRPr="00BD3FB1" w:rsidRDefault="00D33466" w:rsidP="00D33466">
            <w:pPr>
              <w:spacing w:after="0" w:line="240" w:lineRule="auto"/>
              <w:rPr>
                <w:rFonts w:cs="Times New Roman"/>
                <w:b/>
              </w:rPr>
            </w:pPr>
            <w:r w:rsidRPr="00BD3FB1">
              <w:rPr>
                <w:rFonts w:cs="Times New Roman"/>
                <w:b/>
              </w:rPr>
              <w:t>James Cook University Hospital, South Tees Hospitals NHS Foundation Trust</w:t>
            </w:r>
          </w:p>
        </w:tc>
      </w:tr>
      <w:tr w:rsidR="00D33466" w:rsidTr="00EC2E3B">
        <w:tc>
          <w:tcPr>
            <w:tcW w:w="9016" w:type="dxa"/>
            <w:gridSpan w:val="2"/>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pPr>
            <w:r>
              <w:rPr>
                <w:b/>
              </w:rPr>
              <w:t>Title of Presentation</w:t>
            </w:r>
            <w:r>
              <w:t>:</w:t>
            </w:r>
          </w:p>
          <w:p w:rsidR="00D33466" w:rsidRPr="00D67865" w:rsidRDefault="00D33466" w:rsidP="00D33466">
            <w:pPr>
              <w:spacing w:after="0" w:line="240" w:lineRule="auto"/>
              <w:rPr>
                <w:rFonts w:cs="Times New Roman"/>
                <w:b/>
                <w:i/>
              </w:rPr>
            </w:pPr>
            <w:r w:rsidRPr="00D67865">
              <w:rPr>
                <w:rFonts w:cs="Times New Roman"/>
                <w:b/>
                <w:i/>
              </w:rPr>
              <w:t>Predictors of treatment failure in patients with recurrent urinary tract infections</w:t>
            </w:r>
          </w:p>
        </w:tc>
      </w:tr>
      <w:tr w:rsidR="00D33466" w:rsidTr="00EC2E3B">
        <w:tc>
          <w:tcPr>
            <w:tcW w:w="9016" w:type="dxa"/>
            <w:gridSpan w:val="2"/>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pPr>
            <w:r>
              <w:rPr>
                <w:b/>
              </w:rPr>
              <w:t>Authors</w:t>
            </w:r>
            <w:r>
              <w:t>:</w:t>
            </w:r>
          </w:p>
          <w:p w:rsidR="00D33466" w:rsidRDefault="00D33466" w:rsidP="00D33466">
            <w:pPr>
              <w:spacing w:after="0" w:line="240" w:lineRule="auto"/>
              <w:rPr>
                <w:rFonts w:cs="Times New Roman"/>
              </w:rPr>
            </w:pPr>
            <w:r w:rsidRPr="00D67865">
              <w:t xml:space="preserve">Pragnitha </w:t>
            </w:r>
            <w:proofErr w:type="spellStart"/>
            <w:r w:rsidRPr="00D67865">
              <w:t>Chitteti</w:t>
            </w:r>
            <w:proofErr w:type="spellEnd"/>
            <w:r w:rsidRPr="00D67865">
              <w:t xml:space="preserve">, </w:t>
            </w:r>
            <w:r>
              <w:t xml:space="preserve">Ahmed </w:t>
            </w:r>
            <w:proofErr w:type="spellStart"/>
            <w:r>
              <w:t>Ghonaimy</w:t>
            </w:r>
            <w:proofErr w:type="spellEnd"/>
            <w:r>
              <w:t xml:space="preserve">, </w:t>
            </w:r>
            <w:r w:rsidRPr="00D67865">
              <w:t xml:space="preserve">Jayne </w:t>
            </w:r>
            <w:proofErr w:type="spellStart"/>
            <w:r w:rsidRPr="00D67865">
              <w:t>Morris-Laverick</w:t>
            </w:r>
            <w:proofErr w:type="spellEnd"/>
            <w:r w:rsidRPr="00D67865">
              <w:t xml:space="preserve">, Stephanie </w:t>
            </w:r>
            <w:proofErr w:type="spellStart"/>
            <w:r w:rsidRPr="00D67865">
              <w:t>Bezemer</w:t>
            </w:r>
            <w:proofErr w:type="spellEnd"/>
            <w:r>
              <w:t xml:space="preserve">, </w:t>
            </w:r>
            <w:r w:rsidRPr="00D67865">
              <w:t>Mehwash Nadeem</w:t>
            </w:r>
          </w:p>
        </w:tc>
      </w:tr>
      <w:tr w:rsidR="00D33466" w:rsidTr="00EC2E3B">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spacing w:after="0" w:line="240" w:lineRule="auto"/>
            </w:pPr>
            <w:r>
              <w:rPr>
                <w:b/>
              </w:rPr>
              <w:t>Aims</w:t>
            </w:r>
            <w:r>
              <w:t>:</w:t>
            </w:r>
          </w:p>
          <w:p w:rsidR="00D33466" w:rsidRDefault="00D33466" w:rsidP="00D33466">
            <w:pPr>
              <w:spacing w:after="0" w:line="240" w:lineRule="auto"/>
            </w:pPr>
            <w:r>
              <w:t>Patient and disease factors make a strong contribution to the treatment outcome. Patient factors such as comorbidities and immune status alongside disease factors such as multidrug-resistant (MDR) infection likely impact the treatment success. This study is aimed at identifying the factors that can predict the likelihood of treatment failure in patients who suffer from recurrent urinary tract infections (</w:t>
            </w:r>
            <w:proofErr w:type="spellStart"/>
            <w:r>
              <w:t>rUTIs</w:t>
            </w:r>
            <w:proofErr w:type="spellEnd"/>
            <w:r>
              <w:t>).</w:t>
            </w:r>
          </w:p>
          <w:p w:rsidR="00D33466" w:rsidRDefault="00D33466" w:rsidP="00D33466">
            <w:pPr>
              <w:spacing w:after="0" w:line="240" w:lineRule="auto"/>
              <w:rPr>
                <w:rFonts w:cs="Times New Roman"/>
              </w:rPr>
            </w:pPr>
          </w:p>
        </w:tc>
      </w:tr>
      <w:tr w:rsidR="00D33466" w:rsidTr="00EC2E3B">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Pr="00D67865" w:rsidRDefault="00D33466" w:rsidP="00D33466">
            <w:pPr>
              <w:spacing w:after="0" w:line="240" w:lineRule="auto"/>
            </w:pPr>
            <w:r>
              <w:rPr>
                <w:b/>
              </w:rPr>
              <w:t>Methods</w:t>
            </w:r>
            <w:r>
              <w:t>: We reviewed our prospectively maintained Complex UTI Clinic database to identify the patients who were referred to us from April 2021 to March 2023. Patient demographics and comorbidities, urine culture and antibiotic sensitivities, investigations and intervention performed, hospital admission with urosepsis, treatment received with its outcome {symptomatic and Quality of life (QoL)} were recorded. Statistical analysis was performed using SPSS® 26. Univariate and multivariate analyses were performed using Chi-square and Linear regression model respectively.</w:t>
            </w:r>
          </w:p>
        </w:tc>
      </w:tr>
      <w:tr w:rsidR="00D33466" w:rsidTr="00EC2E3B">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spacing w:after="0" w:line="240" w:lineRule="auto"/>
            </w:pPr>
            <w:r>
              <w:rPr>
                <w:b/>
              </w:rPr>
              <w:t>Results</w:t>
            </w:r>
            <w:r>
              <w:t>:</w:t>
            </w:r>
          </w:p>
          <w:p w:rsidR="00D33466" w:rsidRDefault="00D33466" w:rsidP="00D33466">
            <w:pPr>
              <w:spacing w:after="0" w:line="240" w:lineRule="auto"/>
            </w:pPr>
            <w:r>
              <w:t xml:space="preserve">211 patients (Male 22 &amp; Female 189 included with mean age of 58.3+/-16 years.185 (87.7%) patients had UTI resolution while 26(12%) failed treatment at a mean follow-up of 10 months. On univariate analysis, Source of referral (GP vs. Specialist), Immunosuppression, Hospital admission with </w:t>
            </w:r>
            <w:proofErr w:type="spellStart"/>
            <w:r>
              <w:t>urosepsis</w:t>
            </w:r>
            <w:proofErr w:type="spellEnd"/>
            <w:r>
              <w:t>, Non-</w:t>
            </w:r>
            <w:proofErr w:type="spellStart"/>
            <w:r>
              <w:t>E.Coli</w:t>
            </w:r>
            <w:proofErr w:type="spellEnd"/>
            <w:r>
              <w:t xml:space="preserve"> growth on UCS, MDR, Abnormal cystoscopy, and need for Tertiary treatment (failure to 1st and second-line treatment) were found to be statistically significant (p &lt;0.05). On corrected General linear regression Model, Source of referral, Hospital admission with urosepsis, and need for tertiary treatment reached the statistical significance (p &lt;0.05).</w:t>
            </w:r>
          </w:p>
          <w:p w:rsidR="00D33466" w:rsidRDefault="00D33466" w:rsidP="00D33466">
            <w:pPr>
              <w:spacing w:after="0" w:line="240" w:lineRule="auto"/>
              <w:rPr>
                <w:rFonts w:cs="Times New Roman"/>
              </w:rPr>
            </w:pPr>
          </w:p>
        </w:tc>
      </w:tr>
      <w:tr w:rsidR="00D33466" w:rsidTr="00EC2E3B">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spacing w:after="0" w:line="240" w:lineRule="auto"/>
            </w:pPr>
            <w:r>
              <w:rPr>
                <w:b/>
              </w:rPr>
              <w:t>Conclusion</w:t>
            </w:r>
            <w:r>
              <w:t>:</w:t>
            </w:r>
          </w:p>
          <w:p w:rsidR="00D33466" w:rsidRDefault="00D33466" w:rsidP="00D33466">
            <w:pPr>
              <w:spacing w:after="0" w:line="240" w:lineRule="auto"/>
            </w:pPr>
            <w:r w:rsidRPr="00D67865">
              <w:t>Identifying the factors that may result in treatment failure will likely help with early intervention and managing patient needs and expectations.</w:t>
            </w:r>
          </w:p>
          <w:p w:rsidR="00D33466" w:rsidRDefault="00D33466" w:rsidP="00D33466">
            <w:pPr>
              <w:spacing w:after="0" w:line="240" w:lineRule="auto"/>
              <w:rPr>
                <w:rFonts w:cs="Times New Roman"/>
              </w:rPr>
            </w:pPr>
          </w:p>
        </w:tc>
      </w:tr>
    </w:tbl>
    <w:p w:rsidR="00D33466" w:rsidRDefault="00D33466" w:rsidP="00D33466">
      <w:pPr>
        <w:tabs>
          <w:tab w:val="left" w:pos="1830"/>
        </w:tabs>
      </w:pPr>
    </w:p>
    <w:p w:rsidR="00D33466" w:rsidRDefault="00D33466" w:rsidP="00D33466">
      <w:pPr>
        <w:tabs>
          <w:tab w:val="left" w:pos="1830"/>
        </w:tabs>
      </w:pPr>
    </w:p>
    <w:p w:rsidR="00D33466" w:rsidRDefault="00D33466" w:rsidP="00D33466">
      <w:pPr>
        <w:tabs>
          <w:tab w:val="left" w:pos="1830"/>
        </w:tabs>
      </w:pPr>
    </w:p>
    <w:p w:rsidR="00D33466" w:rsidRDefault="00D33466" w:rsidP="00D33466">
      <w:pPr>
        <w:tabs>
          <w:tab w:val="left" w:pos="1830"/>
        </w:tabs>
      </w:pPr>
    </w:p>
    <w:tbl>
      <w:tblPr>
        <w:tblpPr w:leftFromText="180" w:rightFromText="180" w:horzAnchor="margin" w:tblpY="13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8"/>
        <w:gridCol w:w="3528"/>
      </w:tblGrid>
      <w:tr w:rsidR="00D33466" w:rsidTr="00D33466">
        <w:tc>
          <w:tcPr>
            <w:tcW w:w="5488" w:type="dxa"/>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pPr>
            <w:r>
              <w:rPr>
                <w:b/>
              </w:rPr>
              <w:t>Name of Presenter</w:t>
            </w:r>
            <w:r>
              <w:t>:</w:t>
            </w:r>
          </w:p>
          <w:p w:rsidR="00D33466" w:rsidRDefault="00D33466" w:rsidP="00D33466">
            <w:pPr>
              <w:spacing w:after="0" w:line="240" w:lineRule="auto"/>
              <w:rPr>
                <w:rFonts w:cs="Times New Roman"/>
              </w:rPr>
            </w:pPr>
            <w:r>
              <w:rPr>
                <w:rFonts w:cs="Times New Roman"/>
              </w:rPr>
              <w:t xml:space="preserve">Ahmed </w:t>
            </w:r>
            <w:proofErr w:type="spellStart"/>
            <w:r>
              <w:rPr>
                <w:rFonts w:cs="Times New Roman"/>
              </w:rPr>
              <w:t>Ghonaimy</w:t>
            </w:r>
            <w:proofErr w:type="spellEnd"/>
          </w:p>
        </w:tc>
        <w:tc>
          <w:tcPr>
            <w:tcW w:w="3528" w:type="dxa"/>
            <w:tcBorders>
              <w:top w:val="single" w:sz="4" w:space="0" w:color="auto"/>
              <w:left w:val="single" w:sz="4" w:space="0" w:color="auto"/>
              <w:bottom w:val="single" w:sz="4" w:space="0" w:color="auto"/>
              <w:right w:val="single" w:sz="4" w:space="0" w:color="auto"/>
            </w:tcBorders>
            <w:hideMark/>
          </w:tcPr>
          <w:p w:rsidR="00D33466" w:rsidRDefault="00D33466" w:rsidP="00D33466">
            <w:pPr>
              <w:spacing w:after="0" w:line="240" w:lineRule="auto"/>
            </w:pPr>
            <w:r>
              <w:rPr>
                <w:b/>
              </w:rPr>
              <w:t>Training grade/post</w:t>
            </w:r>
            <w:r>
              <w:t>:</w:t>
            </w:r>
          </w:p>
          <w:p w:rsidR="00D33466" w:rsidRDefault="00D33466" w:rsidP="00D33466">
            <w:pPr>
              <w:spacing w:after="0" w:line="240" w:lineRule="auto"/>
              <w:rPr>
                <w:rFonts w:cs="Times New Roman"/>
              </w:rPr>
            </w:pPr>
            <w:r>
              <w:rPr>
                <w:rFonts w:cs="Times New Roman"/>
              </w:rPr>
              <w:t>FNUU fellow</w:t>
            </w:r>
          </w:p>
        </w:tc>
      </w:tr>
      <w:tr w:rsidR="00D33466" w:rsidTr="00D33466">
        <w:tc>
          <w:tcPr>
            <w:tcW w:w="9016" w:type="dxa"/>
            <w:gridSpan w:val="2"/>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pPr>
            <w:r>
              <w:rPr>
                <w:b/>
              </w:rPr>
              <w:t>Institution</w:t>
            </w:r>
            <w:r>
              <w:t>:</w:t>
            </w:r>
          </w:p>
          <w:p w:rsidR="00D33466" w:rsidRDefault="00D33466" w:rsidP="00D33466">
            <w:pPr>
              <w:spacing w:after="0" w:line="240" w:lineRule="auto"/>
              <w:rPr>
                <w:rFonts w:cs="Times New Roman"/>
              </w:rPr>
            </w:pPr>
            <w:r>
              <w:rPr>
                <w:rFonts w:cs="Times New Roman"/>
              </w:rPr>
              <w:t>James Cook University hospital (South Tees NHS Trust)</w:t>
            </w:r>
          </w:p>
        </w:tc>
      </w:tr>
      <w:tr w:rsidR="00D33466" w:rsidTr="00D33466">
        <w:tc>
          <w:tcPr>
            <w:tcW w:w="9016" w:type="dxa"/>
            <w:gridSpan w:val="2"/>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pPr>
            <w:r>
              <w:rPr>
                <w:b/>
              </w:rPr>
              <w:t>Title of Presentation</w:t>
            </w:r>
            <w:r>
              <w:t>:</w:t>
            </w:r>
          </w:p>
          <w:p w:rsidR="00D33466" w:rsidRPr="006761B9" w:rsidRDefault="00D33466" w:rsidP="00D33466">
            <w:pPr>
              <w:spacing w:after="0" w:line="240" w:lineRule="auto"/>
            </w:pPr>
            <w:r w:rsidRPr="00DD736F">
              <w:rPr>
                <w:b/>
                <w:bCs/>
              </w:rPr>
              <w:t xml:space="preserve">Ileal conduit urinary diversion for benign diseases, indications and </w:t>
            </w:r>
            <w:r>
              <w:rPr>
                <w:b/>
                <w:bCs/>
              </w:rPr>
              <w:t>outcomes</w:t>
            </w:r>
            <w:r w:rsidRPr="00DD736F">
              <w:rPr>
                <w:b/>
                <w:bCs/>
              </w:rPr>
              <w:t xml:space="preserve"> from a single functional urology unit in 10 years</w:t>
            </w:r>
          </w:p>
        </w:tc>
      </w:tr>
      <w:tr w:rsidR="00D33466" w:rsidTr="00D33466">
        <w:tc>
          <w:tcPr>
            <w:tcW w:w="9016" w:type="dxa"/>
            <w:gridSpan w:val="2"/>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pPr>
            <w:r>
              <w:rPr>
                <w:b/>
              </w:rPr>
              <w:t>Authors</w:t>
            </w:r>
            <w:r>
              <w:t>:</w:t>
            </w:r>
          </w:p>
          <w:p w:rsidR="00D33466" w:rsidRPr="006761B9" w:rsidRDefault="00D33466" w:rsidP="00D33466">
            <w:pPr>
              <w:spacing w:after="0" w:line="240" w:lineRule="auto"/>
            </w:pPr>
            <w:r w:rsidRPr="006761B9">
              <w:t xml:space="preserve">Ahmed </w:t>
            </w:r>
            <w:proofErr w:type="spellStart"/>
            <w:r w:rsidRPr="006761B9">
              <w:t>Ghonaimy</w:t>
            </w:r>
            <w:proofErr w:type="spellEnd"/>
            <w:r w:rsidRPr="006761B9">
              <w:t xml:space="preserve">, Anna Ireland, Ekpeno </w:t>
            </w:r>
            <w:proofErr w:type="spellStart"/>
            <w:r w:rsidRPr="006761B9">
              <w:t>Inyang</w:t>
            </w:r>
            <w:proofErr w:type="spellEnd"/>
            <w:r w:rsidRPr="006761B9">
              <w:t xml:space="preserve">, Pragnitha </w:t>
            </w:r>
            <w:proofErr w:type="spellStart"/>
            <w:r w:rsidRPr="006761B9">
              <w:t>Chitteti</w:t>
            </w:r>
            <w:proofErr w:type="spellEnd"/>
            <w:r w:rsidRPr="006761B9">
              <w:t>, Mehwash Nadeem, Simon Fulford</w:t>
            </w:r>
          </w:p>
        </w:tc>
      </w:tr>
      <w:tr w:rsidR="00D33466" w:rsidTr="00D33466">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Pr="00FB359C" w:rsidRDefault="00D33466" w:rsidP="00D33466">
            <w:pPr>
              <w:spacing w:after="0" w:line="240" w:lineRule="auto"/>
            </w:pPr>
            <w:bookmarkStart w:id="0" w:name="_Hlk178876532"/>
            <w:r>
              <w:rPr>
                <w:b/>
              </w:rPr>
              <w:t>Aims</w:t>
            </w:r>
            <w:r>
              <w:t>: We aimed to evaluate indications, results and complications of ileal conduit (IC) urinary diversion done for benign diseases in our unit in a 10-year period.</w:t>
            </w:r>
          </w:p>
        </w:tc>
      </w:tr>
      <w:tr w:rsidR="00D33466" w:rsidTr="00D33466">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Pr="00FB359C" w:rsidRDefault="00D33466" w:rsidP="00D33466">
            <w:pPr>
              <w:spacing w:after="0" w:line="240" w:lineRule="auto"/>
            </w:pPr>
            <w:r>
              <w:rPr>
                <w:b/>
              </w:rPr>
              <w:t>Methods</w:t>
            </w:r>
            <w:r>
              <w:t>: Retrospective data was collected for Open IC performed for benign conditions between 2014 and 2023. Patient demographics, co-morbidities, indications, duration of hospital stay, perioperative complications were analysed</w:t>
            </w:r>
          </w:p>
        </w:tc>
      </w:tr>
      <w:tr w:rsidR="00D33466" w:rsidTr="00D33466">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Pr="00FB359C" w:rsidRDefault="00D33466" w:rsidP="00D33466">
            <w:pPr>
              <w:spacing w:after="0" w:line="240" w:lineRule="auto"/>
            </w:pPr>
            <w:r>
              <w:rPr>
                <w:b/>
              </w:rPr>
              <w:t>Results</w:t>
            </w:r>
            <w:r>
              <w:t xml:space="preserve">: 59 patients (Male: 25, Female: 34; mean age: 58.7 years) were included. The most common indication was bladder pain syndrome (n=20, 33.8%) followed by neuropathic bladder (n=10, 16.9%). Other indications include urinary incontinence and ketamine </w:t>
            </w:r>
            <w:proofErr w:type="spellStart"/>
            <w:r>
              <w:t>cystopathy</w:t>
            </w:r>
            <w:proofErr w:type="spellEnd"/>
            <w:r>
              <w:t>. Simple cystectomy was done in 45 (76.2%). The histology of these bladders revealed chronic inflammation in 36 (80%)</w:t>
            </w:r>
            <w:proofErr w:type="gramStart"/>
            <w:r>
              <w:t>,  squamous</w:t>
            </w:r>
            <w:proofErr w:type="gramEnd"/>
            <w:r>
              <w:t xml:space="preserve"> metaplasia in 5(11%) and prostate cancer in 5 (25%). 38 patients (64.4%) did not show any significant post-operative complications. Post-operative paralytic ileus was recorded in 4, wound complications in 6, and bowel leak in 2 cases. The most common </w:t>
            </w:r>
            <w:proofErr w:type="gramStart"/>
            <w:r>
              <w:t>long term</w:t>
            </w:r>
            <w:proofErr w:type="gramEnd"/>
            <w:r>
              <w:t xml:space="preserve"> complications were stoma-related and recurrent UTI (6 cases each). Ureteric stricture occurred in 3 cases and </w:t>
            </w:r>
            <w:proofErr w:type="spellStart"/>
            <w:r>
              <w:t>pyocystis</w:t>
            </w:r>
            <w:proofErr w:type="spellEnd"/>
            <w:r>
              <w:t xml:space="preserve"> was recorded in 3/14  of the non-cystectomy cohort</w:t>
            </w:r>
          </w:p>
        </w:tc>
      </w:tr>
      <w:tr w:rsidR="00D33466" w:rsidTr="00D33466">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Pr="00D84A1C" w:rsidRDefault="00D33466" w:rsidP="00D33466">
            <w:pPr>
              <w:spacing w:after="0" w:line="240" w:lineRule="auto"/>
            </w:pPr>
            <w:r>
              <w:rPr>
                <w:b/>
              </w:rPr>
              <w:t>Conclusion</w:t>
            </w:r>
            <w:r>
              <w:t xml:space="preserve">: Open IC diversion </w:t>
            </w:r>
            <w:proofErr w:type="gramStart"/>
            <w:r>
              <w:t>is  a</w:t>
            </w:r>
            <w:proofErr w:type="gramEnd"/>
            <w:r>
              <w:t xml:space="preserve"> valid option for benign conditions and can achieve good long term results with acceptable complication rates in experienced hands. Our data suggests that simultaneous cystectomy/cysto-prostatectomy should be considered whenever possible</w:t>
            </w:r>
          </w:p>
        </w:tc>
      </w:tr>
      <w:bookmarkEnd w:id="0"/>
    </w:tbl>
    <w:p w:rsidR="00D33466" w:rsidRDefault="00D33466" w:rsidP="00D33466">
      <w:pPr>
        <w:tabs>
          <w:tab w:val="left" w:pos="1830"/>
        </w:tabs>
      </w:pPr>
    </w:p>
    <w:p w:rsidR="00D33466" w:rsidRPr="00D33466" w:rsidRDefault="00D33466" w:rsidP="00D33466"/>
    <w:p w:rsidR="00D33466" w:rsidRPr="00D33466" w:rsidRDefault="00D33466" w:rsidP="00D33466"/>
    <w:p w:rsidR="00D33466" w:rsidRPr="00D33466" w:rsidRDefault="00D33466" w:rsidP="00D33466"/>
    <w:p w:rsidR="00D33466" w:rsidRDefault="00D33466" w:rsidP="00D33466">
      <w:pPr>
        <w:tabs>
          <w:tab w:val="left" w:pos="3195"/>
        </w:tabs>
      </w:pPr>
      <w:r>
        <w:tab/>
      </w:r>
    </w:p>
    <w:p w:rsidR="00D33466" w:rsidRDefault="00D33466" w:rsidP="00D33466">
      <w:pPr>
        <w:tabs>
          <w:tab w:val="left" w:pos="3195"/>
        </w:tabs>
      </w:pPr>
    </w:p>
    <w:p w:rsidR="00D33466" w:rsidRDefault="00D33466" w:rsidP="00D33466">
      <w:pPr>
        <w:tabs>
          <w:tab w:val="left" w:pos="3195"/>
        </w:tabs>
      </w:pPr>
    </w:p>
    <w:p w:rsidR="00D33466" w:rsidRDefault="00D33466" w:rsidP="00D33466">
      <w:pPr>
        <w:tabs>
          <w:tab w:val="left" w:pos="3195"/>
        </w:tabs>
      </w:pPr>
    </w:p>
    <w:p w:rsidR="00D33466" w:rsidRDefault="00D33466" w:rsidP="00D33466">
      <w:pPr>
        <w:tabs>
          <w:tab w:val="left" w:pos="3195"/>
        </w:tabs>
      </w:pPr>
    </w:p>
    <w:p w:rsidR="00D33466" w:rsidRDefault="00D33466" w:rsidP="00D33466">
      <w:pPr>
        <w:tabs>
          <w:tab w:val="left" w:pos="3195"/>
        </w:tabs>
      </w:pPr>
    </w:p>
    <w:p w:rsidR="00D33466" w:rsidRDefault="00D33466" w:rsidP="00D33466">
      <w:pPr>
        <w:tabs>
          <w:tab w:val="left" w:pos="3195"/>
        </w:tabs>
      </w:pPr>
    </w:p>
    <w:p w:rsidR="00D33466" w:rsidRDefault="00D33466" w:rsidP="00D33466">
      <w:pPr>
        <w:tabs>
          <w:tab w:val="left" w:pos="3195"/>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8"/>
        <w:gridCol w:w="3528"/>
      </w:tblGrid>
      <w:tr w:rsidR="00D33466" w:rsidTr="00EC2E3B">
        <w:tc>
          <w:tcPr>
            <w:tcW w:w="5488" w:type="dxa"/>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pPr>
            <w:r>
              <w:rPr>
                <w:b/>
              </w:rPr>
              <w:t>Name of Presenter</w:t>
            </w:r>
            <w:r>
              <w:t xml:space="preserve">: Anshu </w:t>
            </w:r>
            <w:proofErr w:type="spellStart"/>
            <w:r>
              <w:t>Jha</w:t>
            </w:r>
            <w:proofErr w:type="spellEnd"/>
          </w:p>
          <w:p w:rsidR="00D33466" w:rsidRDefault="00D33466" w:rsidP="00D33466">
            <w:pPr>
              <w:spacing w:after="0" w:line="240" w:lineRule="auto"/>
              <w:rPr>
                <w:rFonts w:cs="Times New Roman"/>
              </w:rPr>
            </w:pPr>
          </w:p>
        </w:tc>
        <w:tc>
          <w:tcPr>
            <w:tcW w:w="3528" w:type="dxa"/>
            <w:tcBorders>
              <w:top w:val="single" w:sz="4" w:space="0" w:color="auto"/>
              <w:left w:val="single" w:sz="4" w:space="0" w:color="auto"/>
              <w:bottom w:val="single" w:sz="4" w:space="0" w:color="auto"/>
              <w:right w:val="single" w:sz="4" w:space="0" w:color="auto"/>
            </w:tcBorders>
            <w:hideMark/>
          </w:tcPr>
          <w:p w:rsidR="00D33466" w:rsidRDefault="00D33466" w:rsidP="00D33466">
            <w:pPr>
              <w:spacing w:after="0" w:line="240" w:lineRule="auto"/>
              <w:rPr>
                <w:rFonts w:cs="Times New Roman"/>
              </w:rPr>
            </w:pPr>
            <w:r>
              <w:rPr>
                <w:b/>
              </w:rPr>
              <w:t>Training grade/post</w:t>
            </w:r>
            <w:r>
              <w:t>: Urology ST4</w:t>
            </w:r>
          </w:p>
        </w:tc>
      </w:tr>
      <w:tr w:rsidR="00D33466" w:rsidTr="00EC2E3B">
        <w:tc>
          <w:tcPr>
            <w:tcW w:w="9016" w:type="dxa"/>
            <w:gridSpan w:val="2"/>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pPr>
            <w:r>
              <w:rPr>
                <w:b/>
              </w:rPr>
              <w:t>Institution</w:t>
            </w:r>
            <w:r>
              <w:t>: Freeman Hospital</w:t>
            </w:r>
          </w:p>
          <w:p w:rsidR="00D33466" w:rsidRDefault="00D33466" w:rsidP="00D33466">
            <w:pPr>
              <w:spacing w:after="0" w:line="240" w:lineRule="auto"/>
              <w:rPr>
                <w:rFonts w:cs="Times New Roman"/>
              </w:rPr>
            </w:pPr>
          </w:p>
        </w:tc>
      </w:tr>
      <w:tr w:rsidR="00D33466" w:rsidTr="00EC2E3B">
        <w:tc>
          <w:tcPr>
            <w:tcW w:w="9016" w:type="dxa"/>
            <w:gridSpan w:val="2"/>
            <w:tcBorders>
              <w:top w:val="single" w:sz="4" w:space="0" w:color="auto"/>
              <w:left w:val="single" w:sz="4" w:space="0" w:color="auto"/>
              <w:bottom w:val="single" w:sz="4" w:space="0" w:color="auto"/>
              <w:right w:val="single" w:sz="4" w:space="0" w:color="auto"/>
            </w:tcBorders>
          </w:tcPr>
          <w:p w:rsidR="00D33466" w:rsidRPr="00480301" w:rsidRDefault="00D33466" w:rsidP="00D33466">
            <w:pPr>
              <w:spacing w:after="0" w:line="240" w:lineRule="auto"/>
            </w:pPr>
            <w:r>
              <w:rPr>
                <w:b/>
              </w:rPr>
              <w:t>Title of Presentation</w:t>
            </w:r>
            <w:r>
              <w:t xml:space="preserve">: </w:t>
            </w:r>
            <w:r w:rsidRPr="00480301">
              <w:rPr>
                <w:b/>
                <w:bCs/>
              </w:rPr>
              <w:t>Audit of Emergency Admission with Haematuria</w:t>
            </w:r>
            <w:r>
              <w:t xml:space="preserve"> </w:t>
            </w:r>
          </w:p>
        </w:tc>
      </w:tr>
      <w:tr w:rsidR="00D33466" w:rsidTr="00EC2E3B">
        <w:trPr>
          <w:trHeight w:val="692"/>
        </w:trPr>
        <w:tc>
          <w:tcPr>
            <w:tcW w:w="9016" w:type="dxa"/>
            <w:gridSpan w:val="2"/>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pPr>
            <w:r>
              <w:rPr>
                <w:b/>
              </w:rPr>
              <w:t>Authors</w:t>
            </w:r>
            <w:r>
              <w:t xml:space="preserve">: </w:t>
            </w:r>
          </w:p>
          <w:p w:rsidR="00D33466" w:rsidRPr="00480301" w:rsidRDefault="00D33466" w:rsidP="00D33466">
            <w:pPr>
              <w:spacing w:after="0" w:line="240" w:lineRule="auto"/>
            </w:pPr>
            <w:r>
              <w:rPr>
                <w:lang w:val="en-US"/>
              </w:rPr>
              <w:t xml:space="preserve">Anshu </w:t>
            </w:r>
            <w:proofErr w:type="spellStart"/>
            <w:r>
              <w:rPr>
                <w:lang w:val="en-US"/>
              </w:rPr>
              <w:t>Jha</w:t>
            </w:r>
            <w:proofErr w:type="spellEnd"/>
            <w:r>
              <w:rPr>
                <w:lang w:val="en-US"/>
              </w:rPr>
              <w:t xml:space="preserve">, Robert </w:t>
            </w:r>
            <w:proofErr w:type="spellStart"/>
            <w:r>
              <w:rPr>
                <w:lang w:val="en-US"/>
              </w:rPr>
              <w:t>Geraghty</w:t>
            </w:r>
            <w:proofErr w:type="spellEnd"/>
            <w:r>
              <w:rPr>
                <w:lang w:val="en-US"/>
              </w:rPr>
              <w:t xml:space="preserve">, Nina </w:t>
            </w:r>
            <w:proofErr w:type="spellStart"/>
            <w:r>
              <w:rPr>
                <w:lang w:val="en-US"/>
              </w:rPr>
              <w:t>LLewellyn</w:t>
            </w:r>
            <w:proofErr w:type="spellEnd"/>
            <w:r>
              <w:rPr>
                <w:lang w:val="en-US"/>
              </w:rPr>
              <w:t>, Lucy Carter, Dan Conaway, Victoria Lavin</w:t>
            </w:r>
          </w:p>
        </w:tc>
      </w:tr>
      <w:tr w:rsidR="00D33466" w:rsidTr="00EC2E3B">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spacing w:after="0" w:line="240" w:lineRule="auto"/>
            </w:pPr>
            <w:r>
              <w:rPr>
                <w:b/>
              </w:rPr>
              <w:t>Aims</w:t>
            </w:r>
            <w:r>
              <w:t>:</w:t>
            </w:r>
          </w:p>
          <w:p w:rsidR="00D33466" w:rsidRPr="00480301" w:rsidRDefault="00D33466" w:rsidP="00D33466">
            <w:pPr>
              <w:spacing w:after="0" w:line="240" w:lineRule="auto"/>
            </w:pPr>
            <w:r w:rsidRPr="00480301">
              <w:rPr>
                <w:lang w:val="en-US"/>
              </w:rPr>
              <w:t>To re-audit emergency admissions with hematuria following a previous audit (2014) in light of increasing numbers of patients on direct oral anticoagulants (DOAC).</w:t>
            </w:r>
          </w:p>
        </w:tc>
      </w:tr>
      <w:tr w:rsidR="00D33466" w:rsidTr="00EC2E3B">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spacing w:after="0" w:line="240" w:lineRule="auto"/>
            </w:pPr>
            <w:r>
              <w:rPr>
                <w:b/>
              </w:rPr>
              <w:t>Methods</w:t>
            </w:r>
            <w:r>
              <w:t>:</w:t>
            </w:r>
          </w:p>
          <w:p w:rsidR="00D33466" w:rsidRPr="00480301" w:rsidRDefault="00D33466" w:rsidP="00D33466">
            <w:pPr>
              <w:pStyle w:val="NoSpacing"/>
              <w:rPr>
                <w:sz w:val="21"/>
                <w:szCs w:val="21"/>
              </w:rPr>
            </w:pPr>
            <w:r w:rsidRPr="00480301">
              <w:rPr>
                <w:sz w:val="21"/>
                <w:szCs w:val="21"/>
              </w:rPr>
              <w:t xml:space="preserve">We reviewed emergency admissions with haematuria. The original </w:t>
            </w:r>
            <w:proofErr w:type="gramStart"/>
            <w:r w:rsidRPr="00480301">
              <w:rPr>
                <w:sz w:val="21"/>
                <w:szCs w:val="21"/>
              </w:rPr>
              <w:t>audit(</w:t>
            </w:r>
            <w:proofErr w:type="gramEnd"/>
            <w:r w:rsidRPr="00480301">
              <w:rPr>
                <w:sz w:val="21"/>
                <w:szCs w:val="21"/>
              </w:rPr>
              <w:t>1) lasted 9 months, January–October 2014. The re-audit lasted 11 months, June 2021–May 2022. Both audits noted admission reason, anticoagulant indication, length of stay, and treatments. The re-audit included 30-day outcomes. Both dichotomous and continuous data were analysed in R using chi-square and Mann-Whitney U tests.</w:t>
            </w:r>
          </w:p>
        </w:tc>
      </w:tr>
      <w:tr w:rsidR="00D33466" w:rsidTr="00EC2E3B">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spacing w:after="0" w:line="240" w:lineRule="auto"/>
            </w:pPr>
            <w:r>
              <w:rPr>
                <w:b/>
              </w:rPr>
              <w:t>Results</w:t>
            </w:r>
            <w:r>
              <w:t>:</w:t>
            </w:r>
          </w:p>
          <w:p w:rsidR="00D33466" w:rsidRPr="00480301" w:rsidRDefault="00D33466" w:rsidP="00D33466">
            <w:pPr>
              <w:pStyle w:val="NoSpacing"/>
              <w:rPr>
                <w:sz w:val="21"/>
                <w:szCs w:val="21"/>
              </w:rPr>
            </w:pPr>
            <w:r w:rsidRPr="00480301">
              <w:rPr>
                <w:sz w:val="21"/>
                <w:szCs w:val="21"/>
              </w:rPr>
              <w:t xml:space="preserve">138 patients were included in Audit </w:t>
            </w:r>
            <w:proofErr w:type="gramStart"/>
            <w:r w:rsidRPr="00480301">
              <w:rPr>
                <w:sz w:val="21"/>
                <w:szCs w:val="21"/>
              </w:rPr>
              <w:t>1 ,</w:t>
            </w:r>
            <w:proofErr w:type="gramEnd"/>
            <w:r w:rsidRPr="00480301">
              <w:rPr>
                <w:sz w:val="21"/>
                <w:szCs w:val="21"/>
              </w:rPr>
              <w:t xml:space="preserve"> while the Re-audit comprised 112. Anticoagulation rates were similar between groups (48.2% vs 52.1%, p=0.70). Audit 1 demonstrated median stay of 3 days; the re-audit showed considerably longer - 6 days (p&lt;0.001).</w:t>
            </w:r>
          </w:p>
          <w:p w:rsidR="00D33466" w:rsidRPr="00480301" w:rsidRDefault="00D33466" w:rsidP="00D33466">
            <w:pPr>
              <w:pStyle w:val="NoSpacing"/>
              <w:rPr>
                <w:sz w:val="16"/>
                <w:szCs w:val="16"/>
              </w:rPr>
            </w:pPr>
            <w:r w:rsidRPr="00480301">
              <w:rPr>
                <w:sz w:val="21"/>
                <w:szCs w:val="21"/>
              </w:rPr>
              <w:t>Similar proportions required surgery (9.8% vs 9.3%, p=0.99). The combined datasets on anticoagulation showed no significant difference in theatre intervention rates between DOAC and non-DOAC patients (11% vs 10%, p=0.72). The re-audit data showed 27 adverse event rates (27%), including 18 haematuria readmissions and 9 deaths, within 30 days. Anticoagulated and non-anticoagulated groups had similar rates (31% vs 27%, p=0.79). In the sub analysis comparing DOACs to other anticoagulants, adverse event rates were similar (28% vs 33%, p=0.92).</w:t>
            </w:r>
          </w:p>
        </w:tc>
      </w:tr>
      <w:tr w:rsidR="00D33466" w:rsidTr="00EC2E3B">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spacing w:after="0" w:line="240" w:lineRule="auto"/>
            </w:pPr>
            <w:r>
              <w:rPr>
                <w:b/>
              </w:rPr>
              <w:t>Conclusion</w:t>
            </w:r>
            <w:r>
              <w:t>:</w:t>
            </w:r>
          </w:p>
          <w:p w:rsidR="00D33466" w:rsidRPr="00480301" w:rsidRDefault="00D33466" w:rsidP="00D33466">
            <w:pPr>
              <w:spacing w:after="0" w:line="240" w:lineRule="auto"/>
            </w:pPr>
            <w:r w:rsidRPr="00480301">
              <w:rPr>
                <w:lang w:val="en-US"/>
              </w:rPr>
              <w:t xml:space="preserve">There is no difference in intervention rates in those on DOACs vs other anticoagulants. </w:t>
            </w:r>
            <w:r w:rsidRPr="00480301">
              <w:t>Inpatient stays for antiplatelet therapy patients have increased significantly across audits. Those requiring emergency admission with haematuria had a clinically significant 30-day adverse event rate in the re-audit data only, regardless of anticoagulation or DOAC use.</w:t>
            </w:r>
          </w:p>
        </w:tc>
      </w:tr>
    </w:tbl>
    <w:p w:rsidR="00D33466" w:rsidRPr="00D33466" w:rsidRDefault="00D33466" w:rsidP="00D33466">
      <w:pPr>
        <w:tabs>
          <w:tab w:val="left" w:pos="3195"/>
        </w:tabs>
      </w:pPr>
    </w:p>
    <w:p w:rsidR="00D33466" w:rsidRPr="00D33466" w:rsidRDefault="00D33466" w:rsidP="00D33466"/>
    <w:p w:rsidR="00D33466" w:rsidRPr="00D33466" w:rsidRDefault="00D33466" w:rsidP="00D33466"/>
    <w:p w:rsidR="00D33466" w:rsidRPr="00D33466" w:rsidRDefault="00D33466" w:rsidP="00D33466"/>
    <w:p w:rsidR="00D33466" w:rsidRPr="00D33466" w:rsidRDefault="00D33466" w:rsidP="00D33466"/>
    <w:p w:rsidR="00D33466" w:rsidRPr="00D33466" w:rsidRDefault="00D33466" w:rsidP="00D33466"/>
    <w:p w:rsidR="00D33466" w:rsidRPr="00D33466" w:rsidRDefault="00D33466" w:rsidP="00D33466"/>
    <w:p w:rsidR="00D33466" w:rsidRPr="00D33466" w:rsidRDefault="00D33466" w:rsidP="00D33466"/>
    <w:p w:rsidR="00D33466" w:rsidRPr="00D33466" w:rsidRDefault="00D33466" w:rsidP="00D33466"/>
    <w:p w:rsidR="00D33466" w:rsidRPr="00D33466" w:rsidRDefault="00D33466" w:rsidP="00D334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3"/>
        <w:gridCol w:w="3513"/>
      </w:tblGrid>
      <w:tr w:rsidR="00D33466" w:rsidTr="00EC2E3B">
        <w:tc>
          <w:tcPr>
            <w:tcW w:w="5503" w:type="dxa"/>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pPr>
            <w:r>
              <w:rPr>
                <w:b/>
              </w:rPr>
              <w:t>Name of Presenter</w:t>
            </w:r>
            <w:r>
              <w:t xml:space="preserve">: Anshu </w:t>
            </w:r>
            <w:proofErr w:type="spellStart"/>
            <w:r>
              <w:t>Jha</w:t>
            </w:r>
            <w:proofErr w:type="spellEnd"/>
          </w:p>
          <w:p w:rsidR="00D33466" w:rsidRDefault="00D33466" w:rsidP="00D33466">
            <w:pPr>
              <w:spacing w:after="0" w:line="240" w:lineRule="auto"/>
              <w:rPr>
                <w:rFonts w:cs="Times New Roman"/>
              </w:rPr>
            </w:pPr>
          </w:p>
        </w:tc>
        <w:tc>
          <w:tcPr>
            <w:tcW w:w="3513" w:type="dxa"/>
            <w:tcBorders>
              <w:top w:val="single" w:sz="4" w:space="0" w:color="auto"/>
              <w:left w:val="single" w:sz="4" w:space="0" w:color="auto"/>
              <w:bottom w:val="single" w:sz="4" w:space="0" w:color="auto"/>
              <w:right w:val="single" w:sz="4" w:space="0" w:color="auto"/>
            </w:tcBorders>
            <w:hideMark/>
          </w:tcPr>
          <w:p w:rsidR="00D33466" w:rsidRDefault="00D33466" w:rsidP="00D33466">
            <w:pPr>
              <w:spacing w:after="0" w:line="240" w:lineRule="auto"/>
              <w:rPr>
                <w:rFonts w:cs="Times New Roman"/>
              </w:rPr>
            </w:pPr>
            <w:r>
              <w:rPr>
                <w:b/>
              </w:rPr>
              <w:t>Training grade/post</w:t>
            </w:r>
            <w:r>
              <w:t>: Urology ST4</w:t>
            </w:r>
          </w:p>
        </w:tc>
      </w:tr>
      <w:tr w:rsidR="00D33466" w:rsidTr="00EC2E3B">
        <w:tc>
          <w:tcPr>
            <w:tcW w:w="9016" w:type="dxa"/>
            <w:gridSpan w:val="2"/>
            <w:tcBorders>
              <w:top w:val="single" w:sz="4" w:space="0" w:color="auto"/>
              <w:left w:val="single" w:sz="4" w:space="0" w:color="auto"/>
              <w:bottom w:val="single" w:sz="4" w:space="0" w:color="auto"/>
              <w:right w:val="single" w:sz="4" w:space="0" w:color="auto"/>
            </w:tcBorders>
          </w:tcPr>
          <w:p w:rsidR="00D33466" w:rsidRPr="00F73F6B" w:rsidRDefault="00D33466" w:rsidP="00D33466">
            <w:pPr>
              <w:spacing w:after="0" w:line="240" w:lineRule="auto"/>
            </w:pPr>
            <w:r>
              <w:rPr>
                <w:b/>
              </w:rPr>
              <w:t>Institution</w:t>
            </w:r>
            <w:r>
              <w:t>: Freeman Hospital</w:t>
            </w:r>
          </w:p>
        </w:tc>
      </w:tr>
      <w:tr w:rsidR="00D33466" w:rsidTr="00EC2E3B">
        <w:trPr>
          <w:trHeight w:val="794"/>
        </w:trPr>
        <w:tc>
          <w:tcPr>
            <w:tcW w:w="9016" w:type="dxa"/>
            <w:gridSpan w:val="2"/>
            <w:tcBorders>
              <w:top w:val="single" w:sz="4" w:space="0" w:color="auto"/>
              <w:left w:val="single" w:sz="4" w:space="0" w:color="auto"/>
              <w:bottom w:val="single" w:sz="4" w:space="0" w:color="auto"/>
              <w:right w:val="single" w:sz="4" w:space="0" w:color="auto"/>
            </w:tcBorders>
          </w:tcPr>
          <w:p w:rsidR="00D33466" w:rsidRPr="00F73F6B" w:rsidRDefault="00D33466" w:rsidP="00D33466">
            <w:pPr>
              <w:pStyle w:val="NoSpacing"/>
              <w:rPr>
                <w:b/>
                <w:bCs/>
              </w:rPr>
            </w:pPr>
            <w:r w:rsidRPr="00F73F6B">
              <w:rPr>
                <w:b/>
                <w:bCs/>
              </w:rPr>
              <w:t xml:space="preserve">Title of Presentation: </w:t>
            </w:r>
          </w:p>
          <w:p w:rsidR="00D33466" w:rsidRPr="007B212B" w:rsidRDefault="00D33466" w:rsidP="00D33466">
            <w:pPr>
              <w:pStyle w:val="NoSpacing"/>
            </w:pPr>
            <w:r w:rsidRPr="007B212B">
              <w:t>Long term outcomes of expandable covered metal stents in the management of ureteric obstruction and injury</w:t>
            </w:r>
          </w:p>
        </w:tc>
      </w:tr>
      <w:tr w:rsidR="00D33466" w:rsidTr="00EC2E3B">
        <w:trPr>
          <w:trHeight w:val="533"/>
        </w:trPr>
        <w:tc>
          <w:tcPr>
            <w:tcW w:w="9016" w:type="dxa"/>
            <w:gridSpan w:val="2"/>
            <w:tcBorders>
              <w:top w:val="single" w:sz="4" w:space="0" w:color="auto"/>
              <w:left w:val="single" w:sz="4" w:space="0" w:color="auto"/>
              <w:bottom w:val="single" w:sz="4" w:space="0" w:color="auto"/>
              <w:right w:val="single" w:sz="4" w:space="0" w:color="auto"/>
            </w:tcBorders>
          </w:tcPr>
          <w:p w:rsidR="00D33466" w:rsidRPr="00F73F6B" w:rsidRDefault="00D33466" w:rsidP="00D33466">
            <w:pPr>
              <w:spacing w:after="0" w:line="240" w:lineRule="auto"/>
            </w:pPr>
            <w:r>
              <w:rPr>
                <w:b/>
              </w:rPr>
              <w:t>Authors</w:t>
            </w:r>
            <w:r>
              <w:t xml:space="preserve">: </w:t>
            </w:r>
            <w:r w:rsidRPr="007B212B">
              <w:t xml:space="preserve">Anshu </w:t>
            </w:r>
            <w:proofErr w:type="spellStart"/>
            <w:r w:rsidRPr="007B212B">
              <w:t>Jha</w:t>
            </w:r>
            <w:proofErr w:type="spellEnd"/>
            <w:r w:rsidRPr="007B212B">
              <w:t xml:space="preserve">, Ahmed </w:t>
            </w:r>
            <w:proofErr w:type="spellStart"/>
            <w:r w:rsidRPr="007B212B">
              <w:t>Abroaf</w:t>
            </w:r>
            <w:proofErr w:type="spellEnd"/>
            <w:r w:rsidRPr="007B212B">
              <w:t xml:space="preserve">, Angus Luk, John Fitzpatrick, Rob </w:t>
            </w:r>
            <w:proofErr w:type="spellStart"/>
            <w:r w:rsidRPr="007B212B">
              <w:t>Gerghaty</w:t>
            </w:r>
            <w:proofErr w:type="spellEnd"/>
            <w:r w:rsidRPr="007B212B">
              <w:t xml:space="preserve">, Will Fowler, Stefanie </w:t>
            </w:r>
            <w:proofErr w:type="spellStart"/>
            <w:r w:rsidRPr="007B212B">
              <w:t>Croghan</w:t>
            </w:r>
            <w:proofErr w:type="spellEnd"/>
            <w:r w:rsidRPr="007B212B">
              <w:t xml:space="preserve">, </w:t>
            </w:r>
            <w:r>
              <w:t xml:space="preserve">Christoph </w:t>
            </w:r>
            <w:proofErr w:type="spellStart"/>
            <w:r>
              <w:t>Schregel</w:t>
            </w:r>
            <w:proofErr w:type="spellEnd"/>
            <w:r>
              <w:t xml:space="preserve">, </w:t>
            </w:r>
            <w:r w:rsidRPr="007B212B">
              <w:t xml:space="preserve">Rob Williams, Phil Haslam,  John </w:t>
            </w:r>
            <w:proofErr w:type="spellStart"/>
            <w:r w:rsidRPr="007B212B">
              <w:t>Reicher</w:t>
            </w:r>
            <w:proofErr w:type="spellEnd"/>
            <w:r w:rsidRPr="007B212B">
              <w:t xml:space="preserve">, Trevor </w:t>
            </w:r>
            <w:proofErr w:type="spellStart"/>
            <w:r w:rsidRPr="007B212B">
              <w:t>Dorkin</w:t>
            </w:r>
            <w:proofErr w:type="spellEnd"/>
            <w:r w:rsidRPr="007B212B">
              <w:t>, David Rix,  Matthew Shaw, Alistair Rogers</w:t>
            </w:r>
          </w:p>
        </w:tc>
      </w:tr>
      <w:tr w:rsidR="00D33466" w:rsidTr="00EC2E3B">
        <w:trPr>
          <w:trHeight w:val="572"/>
        </w:trPr>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Pr="00DC5942" w:rsidRDefault="00D33466" w:rsidP="00D33466">
            <w:pPr>
              <w:pStyle w:val="NoSpacing"/>
              <w:rPr>
                <w:sz w:val="16"/>
                <w:szCs w:val="16"/>
              </w:rPr>
            </w:pPr>
            <w:r>
              <w:rPr>
                <w:b/>
              </w:rPr>
              <w:t>Aims</w:t>
            </w:r>
            <w:r>
              <w:t xml:space="preserve">: </w:t>
            </w:r>
            <w:r>
              <w:rPr>
                <w:sz w:val="16"/>
                <w:szCs w:val="16"/>
              </w:rPr>
              <w:t>To</w:t>
            </w:r>
            <w:r w:rsidRPr="007B212B">
              <w:rPr>
                <w:sz w:val="16"/>
                <w:szCs w:val="16"/>
              </w:rPr>
              <w:t xml:space="preserve"> assess longer-term outcomes</w:t>
            </w:r>
            <w:r>
              <w:rPr>
                <w:sz w:val="16"/>
                <w:szCs w:val="16"/>
              </w:rPr>
              <w:t xml:space="preserve"> of Allium stents</w:t>
            </w:r>
            <w:r w:rsidRPr="007B212B">
              <w:rPr>
                <w:sz w:val="16"/>
                <w:szCs w:val="16"/>
              </w:rPr>
              <w:t xml:space="preserve"> in our tertiary unit series</w:t>
            </w:r>
            <w:r>
              <w:rPr>
                <w:sz w:val="16"/>
                <w:szCs w:val="16"/>
              </w:rPr>
              <w:t xml:space="preserve"> for the management of complex ureteric obstructions and injuries.</w:t>
            </w:r>
          </w:p>
        </w:tc>
      </w:tr>
      <w:tr w:rsidR="00D33466" w:rsidTr="00EC2E3B">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spacing w:after="0" w:line="240" w:lineRule="auto"/>
            </w:pPr>
            <w:r>
              <w:rPr>
                <w:b/>
              </w:rPr>
              <w:t>Methods</w:t>
            </w:r>
            <w:r>
              <w:t>:</w:t>
            </w:r>
          </w:p>
          <w:p w:rsidR="00D33466" w:rsidRPr="007B212B" w:rsidRDefault="00D33466" w:rsidP="00D33466">
            <w:pPr>
              <w:jc w:val="both"/>
              <w:rPr>
                <w:sz w:val="16"/>
                <w:szCs w:val="16"/>
              </w:rPr>
            </w:pPr>
            <w:r w:rsidRPr="007B212B">
              <w:rPr>
                <w:rFonts w:ascii="Calibri" w:hAnsi="Calibri" w:cs="Calibri"/>
                <w:color w:val="000000"/>
                <w:sz w:val="16"/>
                <w:szCs w:val="16"/>
              </w:rPr>
              <w:t xml:space="preserve">A retrospective cohort study using a prospectively maintained database on all patients undergoing Allium ureteral stent (AUS) insertion (January 2015 </w:t>
            </w:r>
            <w:proofErr w:type="gramStart"/>
            <w:r w:rsidRPr="007B212B">
              <w:rPr>
                <w:rFonts w:ascii="Calibri" w:hAnsi="Calibri" w:cs="Calibri"/>
                <w:color w:val="000000"/>
                <w:sz w:val="16"/>
                <w:szCs w:val="16"/>
              </w:rPr>
              <w:t>-  December</w:t>
            </w:r>
            <w:proofErr w:type="gramEnd"/>
            <w:r w:rsidRPr="007B212B">
              <w:rPr>
                <w:rFonts w:ascii="Calibri" w:hAnsi="Calibri" w:cs="Calibri"/>
                <w:color w:val="000000"/>
                <w:sz w:val="16"/>
                <w:szCs w:val="16"/>
              </w:rPr>
              <w:t xml:space="preserve"> 2023) was performed. 121 stents were inserted in 113 patients. M</w:t>
            </w:r>
            <w:r w:rsidRPr="007B212B">
              <w:rPr>
                <w:rFonts w:ascii="Calibri" w:hAnsi="Calibri" w:cs="Calibri"/>
                <w:sz w:val="16"/>
                <w:szCs w:val="16"/>
              </w:rPr>
              <w:t xml:space="preserve">edian age was 61 years, comprising 48 males and 65 females. Indications were obstruction (n=93) and injury/leak (n=28) with benign disease in 63 patients and malignancy in 58. Stent </w:t>
            </w:r>
            <w:r w:rsidRPr="007B212B">
              <w:rPr>
                <w:rFonts w:ascii="Calibri" w:hAnsi="Calibri" w:cs="Calibri"/>
                <w:color w:val="000000"/>
                <w:sz w:val="16"/>
                <w:szCs w:val="16"/>
              </w:rPr>
              <w:t>‘Success' was defined as resolution of obstruction, patency at 1 year or  removal of Allium with no further intervention.</w:t>
            </w:r>
          </w:p>
        </w:tc>
      </w:tr>
      <w:tr w:rsidR="00D33466" w:rsidTr="00EC2E3B">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spacing w:after="0" w:line="240" w:lineRule="auto"/>
              <w:rPr>
                <w:rFonts w:ascii="Calibri" w:hAnsi="Calibri" w:cs="Calibri"/>
                <w:sz w:val="16"/>
                <w:szCs w:val="16"/>
              </w:rPr>
            </w:pPr>
            <w:r>
              <w:rPr>
                <w:b/>
              </w:rPr>
              <w:t>Results</w:t>
            </w:r>
            <w:r>
              <w:t xml:space="preserve">: </w:t>
            </w:r>
            <w:r w:rsidRPr="007B212B">
              <w:rPr>
                <w:rFonts w:ascii="Calibri" w:hAnsi="Calibri" w:cs="Calibri"/>
                <w:color w:val="000000"/>
                <w:sz w:val="16"/>
                <w:szCs w:val="16"/>
              </w:rPr>
              <w:t xml:space="preserve">The median AUS implantation length was 303.5 days. </w:t>
            </w:r>
            <w:r w:rsidRPr="007B212B">
              <w:rPr>
                <w:rFonts w:ascii="Calibri" w:hAnsi="Calibri" w:cs="Calibri"/>
                <w:sz w:val="16"/>
                <w:szCs w:val="16"/>
              </w:rPr>
              <w:t xml:space="preserve">The location and cause of ureteric pathology is outlined in table 1. Most obstructive pathology were proximal and distal. 75% ureteric injury/leaks were distal. Overall success rates and migration rates were 68.6% and 18% respectively. </w:t>
            </w:r>
            <w:r w:rsidRPr="007B212B">
              <w:rPr>
                <w:rStyle w:val="Strong"/>
                <w:rFonts w:ascii="Calibri" w:eastAsiaTheme="majorEastAsia" w:hAnsi="Calibri" w:cs="Calibri"/>
                <w:sz w:val="16"/>
                <w:szCs w:val="16"/>
              </w:rPr>
              <w:t>Migration rates</w:t>
            </w:r>
            <w:r w:rsidRPr="007B212B">
              <w:rPr>
                <w:rFonts w:ascii="Calibri" w:hAnsi="Calibri" w:cs="Calibri"/>
                <w:sz w:val="16"/>
                <w:szCs w:val="16"/>
              </w:rPr>
              <w:t xml:space="preserve"> were higher in proximal </w:t>
            </w:r>
            <w:r w:rsidRPr="007B212B">
              <w:rPr>
                <w:rStyle w:val="Strong"/>
                <w:rFonts w:ascii="Calibri" w:eastAsiaTheme="majorEastAsia" w:hAnsi="Calibri" w:cs="Calibri"/>
                <w:sz w:val="16"/>
                <w:szCs w:val="16"/>
              </w:rPr>
              <w:t>benign ureteric obstructions</w:t>
            </w:r>
            <w:r w:rsidRPr="007B212B">
              <w:rPr>
                <w:rFonts w:ascii="Calibri" w:hAnsi="Calibri" w:cs="Calibri"/>
                <w:sz w:val="16"/>
                <w:szCs w:val="16"/>
              </w:rPr>
              <w:t xml:space="preserve"> (27.3%) and </w:t>
            </w:r>
            <w:r w:rsidRPr="007B212B">
              <w:rPr>
                <w:rStyle w:val="Strong"/>
                <w:rFonts w:ascii="Calibri" w:eastAsiaTheme="majorEastAsia" w:hAnsi="Calibri" w:cs="Calibri"/>
                <w:sz w:val="16"/>
                <w:szCs w:val="16"/>
              </w:rPr>
              <w:t>malignant ureteric injuries/leaks</w:t>
            </w:r>
            <w:r w:rsidRPr="007B212B">
              <w:rPr>
                <w:rFonts w:ascii="Calibri" w:hAnsi="Calibri" w:cs="Calibri"/>
                <w:sz w:val="16"/>
                <w:szCs w:val="16"/>
              </w:rPr>
              <w:t xml:space="preserve"> (35%). </w:t>
            </w:r>
            <w:r w:rsidRPr="007B212B">
              <w:rPr>
                <w:rStyle w:val="Strong"/>
                <w:rFonts w:ascii="Calibri" w:eastAsiaTheme="majorEastAsia" w:hAnsi="Calibri" w:cs="Calibri"/>
                <w:sz w:val="16"/>
                <w:szCs w:val="16"/>
              </w:rPr>
              <w:t>Encrustation rates</w:t>
            </w:r>
            <w:r w:rsidRPr="007B212B">
              <w:rPr>
                <w:rFonts w:ascii="Calibri" w:hAnsi="Calibri" w:cs="Calibri"/>
                <w:sz w:val="16"/>
                <w:szCs w:val="16"/>
              </w:rPr>
              <w:t xml:space="preserve"> were generally low across all categories. There was a 19% obstruction rate above or below the stent. The majority of failures occurred within the first 12 months. Only 3 stents were removed for symptoms.</w:t>
            </w:r>
          </w:p>
          <w:p w:rsidR="00D33466" w:rsidRDefault="00D33466" w:rsidP="00D33466">
            <w:pPr>
              <w:spacing w:after="0" w:line="240" w:lineRule="auto"/>
              <w:rPr>
                <w:rFonts w:ascii="Calibri" w:hAnsi="Calibri" w:cs="Calibri"/>
                <w:sz w:val="16"/>
                <w:szCs w:val="16"/>
              </w:rPr>
            </w:pPr>
          </w:p>
          <w:p w:rsidR="00D33466" w:rsidRPr="00830B59" w:rsidRDefault="00D33466" w:rsidP="00D33466">
            <w:pPr>
              <w:spacing w:after="0" w:line="240" w:lineRule="auto"/>
              <w:rPr>
                <w:rFonts w:ascii="Calibri" w:hAnsi="Calibri" w:cs="Calibri"/>
                <w:sz w:val="16"/>
                <w:szCs w:val="16"/>
              </w:rPr>
            </w:pPr>
            <w:r w:rsidRPr="00DC5942">
              <w:rPr>
                <w:rFonts w:ascii="Calibri" w:hAnsi="Calibri" w:cs="Calibri"/>
                <w:noProof/>
                <w:sz w:val="16"/>
                <w:szCs w:val="16"/>
                <w:lang w:eastAsia="en-GB"/>
              </w:rPr>
              <w:drawing>
                <wp:inline distT="0" distB="0" distL="0" distR="0" wp14:anchorId="3BBFEEE6" wp14:editId="4D3CB137">
                  <wp:extent cx="4010184" cy="1152939"/>
                  <wp:effectExtent l="0" t="0" r="3175" b="3175"/>
                  <wp:docPr id="705632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632270" name=""/>
                          <pic:cNvPicPr/>
                        </pic:nvPicPr>
                        <pic:blipFill>
                          <a:blip r:embed="rId7">
                            <a:extLst>
                              <a:ext uri="{BEBA8EAE-BF5A-486C-A8C5-ECC9F3942E4B}">
                                <a14:imgProps xmlns:a14="http://schemas.microsoft.com/office/drawing/2010/main">
                                  <a14:imgLayer r:embed="rId8">
                                    <a14:imgEffect>
                                      <a14:brightnessContrast bright="-20000" contrast="20000"/>
                                    </a14:imgEffect>
                                  </a14:imgLayer>
                                </a14:imgProps>
                              </a:ext>
                            </a:extLst>
                          </a:blip>
                          <a:stretch>
                            <a:fillRect/>
                          </a:stretch>
                        </pic:blipFill>
                        <pic:spPr>
                          <a:xfrm>
                            <a:off x="0" y="0"/>
                            <a:ext cx="4048646" cy="1163997"/>
                          </a:xfrm>
                          <a:prstGeom prst="rect">
                            <a:avLst/>
                          </a:prstGeom>
                          <a:solidFill>
                            <a:sysClr val="windowText" lastClr="000000"/>
                          </a:solidFill>
                        </pic:spPr>
                      </pic:pic>
                    </a:graphicData>
                  </a:graphic>
                </wp:inline>
              </w:drawing>
            </w:r>
          </w:p>
        </w:tc>
      </w:tr>
      <w:tr w:rsidR="00D33466" w:rsidTr="00EC2E3B">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spacing w:after="0" w:line="240" w:lineRule="auto"/>
            </w:pPr>
            <w:r>
              <w:rPr>
                <w:b/>
              </w:rPr>
              <w:t>Conclusion</w:t>
            </w:r>
            <w:r>
              <w:t>:</w:t>
            </w:r>
          </w:p>
          <w:p w:rsidR="00D33466" w:rsidRPr="00DC5942" w:rsidRDefault="00D33466" w:rsidP="00D33466">
            <w:pPr>
              <w:rPr>
                <w:rFonts w:ascii="Calibri" w:hAnsi="Calibri" w:cs="Calibri"/>
              </w:rPr>
            </w:pPr>
            <w:r w:rsidRPr="00DC5942">
              <w:rPr>
                <w:rFonts w:ascii="Calibri" w:hAnsi="Calibri" w:cs="Calibri"/>
              </w:rPr>
              <w:t>This is the second largest series of Allium stents in the world literature and provides valuable insights into benefits and drawbacks of this novel technology.</w:t>
            </w:r>
          </w:p>
        </w:tc>
      </w:tr>
    </w:tbl>
    <w:p w:rsidR="00D33466" w:rsidRDefault="00D33466" w:rsidP="00D33466"/>
    <w:p w:rsidR="00D33466" w:rsidRDefault="00D33466" w:rsidP="00D33466"/>
    <w:p w:rsidR="00D33466" w:rsidRDefault="00D33466" w:rsidP="00D33466"/>
    <w:p w:rsidR="00D33466" w:rsidRDefault="00D33466" w:rsidP="00D33466"/>
    <w:p w:rsidR="00D33466" w:rsidRDefault="00D33466" w:rsidP="00D33466"/>
    <w:p w:rsidR="00D33466" w:rsidRDefault="00D33466" w:rsidP="00D33466"/>
    <w:p w:rsidR="00D33466" w:rsidRDefault="00D33466" w:rsidP="00D33466"/>
    <w:p w:rsidR="00EC2E3B" w:rsidRDefault="00EC2E3B" w:rsidP="00D33466"/>
    <w:p w:rsidR="00EC2E3B" w:rsidRDefault="00EC2E3B" w:rsidP="00D33466"/>
    <w:tbl>
      <w:tblPr>
        <w:tblW w:w="9214" w:type="dxa"/>
        <w:tblInd w:w="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8"/>
        <w:gridCol w:w="4036"/>
      </w:tblGrid>
      <w:tr w:rsidR="00A35C2A" w:rsidTr="00030F68">
        <w:tc>
          <w:tcPr>
            <w:tcW w:w="5178" w:type="dxa"/>
            <w:tcBorders>
              <w:top w:val="single" w:sz="4" w:space="0" w:color="auto"/>
              <w:left w:val="single" w:sz="4" w:space="0" w:color="auto"/>
              <w:bottom w:val="single" w:sz="4" w:space="0" w:color="auto"/>
              <w:right w:val="single" w:sz="4" w:space="0" w:color="auto"/>
            </w:tcBorders>
          </w:tcPr>
          <w:p w:rsidR="00A35C2A" w:rsidRPr="002B1A63" w:rsidRDefault="00A35C2A" w:rsidP="00030F68">
            <w:pPr>
              <w:spacing w:after="0" w:line="240" w:lineRule="auto"/>
              <w:rPr>
                <w:rFonts w:ascii="Arial" w:hAnsi="Arial" w:cs="Arial"/>
                <w:sz w:val="20"/>
                <w:szCs w:val="20"/>
              </w:rPr>
            </w:pPr>
            <w:r w:rsidRPr="002B1A63">
              <w:rPr>
                <w:rFonts w:ascii="Arial" w:hAnsi="Arial" w:cs="Arial"/>
                <w:b/>
                <w:sz w:val="20"/>
                <w:szCs w:val="20"/>
              </w:rPr>
              <w:t>Name of Presenter</w:t>
            </w:r>
            <w:r w:rsidRPr="002B1A63">
              <w:rPr>
                <w:rFonts w:ascii="Arial" w:hAnsi="Arial" w:cs="Arial"/>
                <w:sz w:val="20"/>
                <w:szCs w:val="20"/>
              </w:rPr>
              <w:t xml:space="preserve">: Ashika </w:t>
            </w:r>
            <w:proofErr w:type="spellStart"/>
            <w:r w:rsidRPr="002B1A63">
              <w:rPr>
                <w:rFonts w:ascii="Arial" w:hAnsi="Arial" w:cs="Arial"/>
                <w:sz w:val="20"/>
                <w:szCs w:val="20"/>
              </w:rPr>
              <w:t>Dhondee</w:t>
            </w:r>
            <w:proofErr w:type="spellEnd"/>
            <w:r w:rsidRPr="002B1A63">
              <w:rPr>
                <w:rFonts w:ascii="Arial" w:hAnsi="Arial" w:cs="Arial"/>
                <w:sz w:val="20"/>
                <w:szCs w:val="20"/>
              </w:rPr>
              <w:t>, Alex Miller</w:t>
            </w:r>
          </w:p>
          <w:p w:rsidR="00A35C2A" w:rsidRPr="002B1A63" w:rsidRDefault="00A35C2A" w:rsidP="00030F68">
            <w:pPr>
              <w:spacing w:after="0" w:line="240" w:lineRule="auto"/>
              <w:rPr>
                <w:rFonts w:ascii="Arial" w:hAnsi="Arial" w:cs="Arial"/>
                <w:sz w:val="20"/>
                <w:szCs w:val="20"/>
              </w:rPr>
            </w:pPr>
          </w:p>
        </w:tc>
        <w:tc>
          <w:tcPr>
            <w:tcW w:w="4036" w:type="dxa"/>
            <w:tcBorders>
              <w:top w:val="single" w:sz="4" w:space="0" w:color="auto"/>
              <w:left w:val="single" w:sz="4" w:space="0" w:color="auto"/>
              <w:bottom w:val="single" w:sz="4" w:space="0" w:color="auto"/>
              <w:right w:val="single" w:sz="4" w:space="0" w:color="auto"/>
            </w:tcBorders>
            <w:hideMark/>
          </w:tcPr>
          <w:p w:rsidR="00A35C2A" w:rsidRPr="002B1A63" w:rsidRDefault="00A35C2A" w:rsidP="00030F68">
            <w:pPr>
              <w:spacing w:after="0" w:line="240" w:lineRule="auto"/>
              <w:rPr>
                <w:rFonts w:ascii="Arial" w:hAnsi="Arial" w:cs="Arial"/>
                <w:sz w:val="20"/>
                <w:szCs w:val="20"/>
              </w:rPr>
            </w:pPr>
            <w:r w:rsidRPr="002B1A63">
              <w:rPr>
                <w:rFonts w:ascii="Arial" w:hAnsi="Arial" w:cs="Arial"/>
                <w:b/>
                <w:sz w:val="20"/>
                <w:szCs w:val="20"/>
              </w:rPr>
              <w:t>Training grade/post</w:t>
            </w:r>
            <w:r w:rsidRPr="002B1A63">
              <w:rPr>
                <w:rFonts w:ascii="Arial" w:hAnsi="Arial" w:cs="Arial"/>
                <w:sz w:val="20"/>
                <w:szCs w:val="20"/>
              </w:rPr>
              <w:t>: CT2,ST4</w:t>
            </w:r>
          </w:p>
        </w:tc>
      </w:tr>
      <w:tr w:rsidR="00A35C2A" w:rsidTr="00030F68">
        <w:tc>
          <w:tcPr>
            <w:tcW w:w="9214" w:type="dxa"/>
            <w:gridSpan w:val="2"/>
            <w:tcBorders>
              <w:top w:val="single" w:sz="4" w:space="0" w:color="auto"/>
              <w:left w:val="single" w:sz="4" w:space="0" w:color="auto"/>
              <w:bottom w:val="single" w:sz="4" w:space="0" w:color="auto"/>
              <w:right w:val="single" w:sz="4" w:space="0" w:color="auto"/>
            </w:tcBorders>
          </w:tcPr>
          <w:p w:rsidR="00A35C2A" w:rsidRPr="002B1A63" w:rsidRDefault="00A35C2A" w:rsidP="00030F68">
            <w:pPr>
              <w:spacing w:after="0" w:line="240" w:lineRule="auto"/>
              <w:rPr>
                <w:rFonts w:ascii="Arial" w:hAnsi="Arial" w:cs="Arial"/>
                <w:sz w:val="20"/>
                <w:szCs w:val="20"/>
              </w:rPr>
            </w:pPr>
            <w:r w:rsidRPr="002B1A63">
              <w:rPr>
                <w:rFonts w:ascii="Arial" w:hAnsi="Arial" w:cs="Arial"/>
                <w:b/>
                <w:sz w:val="20"/>
                <w:szCs w:val="20"/>
              </w:rPr>
              <w:t>Institution</w:t>
            </w:r>
            <w:r w:rsidRPr="002B1A63">
              <w:rPr>
                <w:rFonts w:ascii="Arial" w:hAnsi="Arial" w:cs="Arial"/>
                <w:sz w:val="20"/>
                <w:szCs w:val="20"/>
              </w:rPr>
              <w:t>:</w:t>
            </w:r>
          </w:p>
          <w:p w:rsidR="00A35C2A" w:rsidRPr="002B1A63" w:rsidRDefault="00A35C2A" w:rsidP="00030F68">
            <w:pPr>
              <w:spacing w:after="0" w:line="240" w:lineRule="auto"/>
              <w:rPr>
                <w:rFonts w:ascii="Arial" w:hAnsi="Arial" w:cs="Arial"/>
                <w:sz w:val="20"/>
                <w:szCs w:val="20"/>
              </w:rPr>
            </w:pPr>
            <w:r w:rsidRPr="002B1A63">
              <w:rPr>
                <w:rFonts w:ascii="Arial" w:hAnsi="Arial" w:cs="Arial"/>
                <w:sz w:val="20"/>
                <w:szCs w:val="20"/>
              </w:rPr>
              <w:t>Freeman Hospital</w:t>
            </w:r>
          </w:p>
        </w:tc>
      </w:tr>
      <w:tr w:rsidR="00A35C2A" w:rsidTr="00030F68">
        <w:tc>
          <w:tcPr>
            <w:tcW w:w="9214" w:type="dxa"/>
            <w:gridSpan w:val="2"/>
            <w:tcBorders>
              <w:top w:val="single" w:sz="4" w:space="0" w:color="auto"/>
              <w:left w:val="single" w:sz="4" w:space="0" w:color="auto"/>
              <w:bottom w:val="single" w:sz="4" w:space="0" w:color="auto"/>
              <w:right w:val="single" w:sz="4" w:space="0" w:color="auto"/>
            </w:tcBorders>
          </w:tcPr>
          <w:p w:rsidR="00A35C2A" w:rsidRPr="002B1A63" w:rsidRDefault="00A35C2A" w:rsidP="00030F68">
            <w:pPr>
              <w:spacing w:after="0" w:line="240" w:lineRule="auto"/>
              <w:rPr>
                <w:rFonts w:ascii="Arial" w:hAnsi="Arial" w:cs="Arial"/>
                <w:sz w:val="20"/>
                <w:szCs w:val="20"/>
              </w:rPr>
            </w:pPr>
            <w:r w:rsidRPr="002B1A63">
              <w:rPr>
                <w:rFonts w:ascii="Arial" w:hAnsi="Arial" w:cs="Arial"/>
                <w:b/>
                <w:sz w:val="20"/>
                <w:szCs w:val="20"/>
              </w:rPr>
              <w:t>Title of Presentation</w:t>
            </w:r>
            <w:r w:rsidRPr="002B1A63">
              <w:rPr>
                <w:rFonts w:ascii="Arial" w:hAnsi="Arial" w:cs="Arial"/>
                <w:sz w:val="20"/>
                <w:szCs w:val="20"/>
              </w:rPr>
              <w:t>:</w:t>
            </w:r>
          </w:p>
          <w:p w:rsidR="00A35C2A" w:rsidRPr="002B1A63" w:rsidRDefault="00A35C2A" w:rsidP="00030F68">
            <w:pPr>
              <w:framePr w:hSpace="180" w:wrap="around" w:vAnchor="text" w:hAnchor="margin" w:y="35"/>
              <w:spacing w:after="0" w:line="240" w:lineRule="auto"/>
              <w:rPr>
                <w:rFonts w:ascii="Arial" w:hAnsi="Arial" w:cs="Arial"/>
                <w:sz w:val="20"/>
                <w:szCs w:val="20"/>
              </w:rPr>
            </w:pPr>
            <w:r w:rsidRPr="002B1A63">
              <w:rPr>
                <w:rFonts w:ascii="Arial" w:hAnsi="Arial" w:cs="Arial"/>
                <w:sz w:val="20"/>
                <w:szCs w:val="20"/>
              </w:rPr>
              <w:t xml:space="preserve">Audit on the outcomes of </w:t>
            </w:r>
            <w:proofErr w:type="spellStart"/>
            <w:r w:rsidRPr="002B1A63">
              <w:rPr>
                <w:rFonts w:ascii="Arial" w:hAnsi="Arial" w:cs="Arial"/>
                <w:sz w:val="20"/>
                <w:szCs w:val="20"/>
              </w:rPr>
              <w:t>GreenLight</w:t>
            </w:r>
            <w:proofErr w:type="spellEnd"/>
            <w:r w:rsidRPr="002B1A63">
              <w:rPr>
                <w:rFonts w:ascii="Arial" w:hAnsi="Arial" w:cs="Arial"/>
                <w:sz w:val="20"/>
                <w:szCs w:val="20"/>
              </w:rPr>
              <w:t xml:space="preserve"> laser </w:t>
            </w:r>
            <w:proofErr w:type="spellStart"/>
            <w:r w:rsidRPr="002B1A63">
              <w:rPr>
                <w:rFonts w:ascii="Arial" w:hAnsi="Arial" w:cs="Arial"/>
                <w:sz w:val="20"/>
                <w:szCs w:val="20"/>
              </w:rPr>
              <w:t>photovaporization</w:t>
            </w:r>
            <w:proofErr w:type="spellEnd"/>
            <w:r w:rsidRPr="002B1A63">
              <w:rPr>
                <w:rFonts w:ascii="Arial" w:hAnsi="Arial" w:cs="Arial"/>
                <w:sz w:val="20"/>
                <w:szCs w:val="20"/>
              </w:rPr>
              <w:t xml:space="preserve"> of the prostate at Freeman Hospital. </w:t>
            </w:r>
          </w:p>
        </w:tc>
      </w:tr>
      <w:tr w:rsidR="00A35C2A" w:rsidTr="00030F68">
        <w:tc>
          <w:tcPr>
            <w:tcW w:w="9214" w:type="dxa"/>
            <w:gridSpan w:val="2"/>
            <w:tcBorders>
              <w:top w:val="single" w:sz="4" w:space="0" w:color="auto"/>
              <w:left w:val="single" w:sz="4" w:space="0" w:color="auto"/>
              <w:bottom w:val="single" w:sz="4" w:space="0" w:color="auto"/>
              <w:right w:val="single" w:sz="4" w:space="0" w:color="auto"/>
            </w:tcBorders>
          </w:tcPr>
          <w:p w:rsidR="00A35C2A" w:rsidRPr="002B1A63" w:rsidRDefault="00A35C2A" w:rsidP="00030F68">
            <w:pPr>
              <w:spacing w:after="0" w:line="240" w:lineRule="auto"/>
              <w:rPr>
                <w:rFonts w:ascii="Arial" w:hAnsi="Arial" w:cs="Arial"/>
                <w:sz w:val="20"/>
                <w:szCs w:val="20"/>
              </w:rPr>
            </w:pPr>
            <w:r w:rsidRPr="002B1A63">
              <w:rPr>
                <w:rFonts w:ascii="Arial" w:hAnsi="Arial" w:cs="Arial"/>
                <w:b/>
                <w:sz w:val="20"/>
                <w:szCs w:val="20"/>
              </w:rPr>
              <w:t>Authors</w:t>
            </w:r>
            <w:r w:rsidRPr="002B1A63">
              <w:rPr>
                <w:rFonts w:ascii="Arial" w:hAnsi="Arial" w:cs="Arial"/>
                <w:sz w:val="20"/>
                <w:szCs w:val="20"/>
              </w:rPr>
              <w:t>:</w:t>
            </w:r>
          </w:p>
          <w:p w:rsidR="00A35C2A" w:rsidRPr="002B1A63" w:rsidRDefault="00A35C2A" w:rsidP="00030F68">
            <w:pPr>
              <w:framePr w:hSpace="180" w:wrap="around" w:vAnchor="text" w:hAnchor="margin" w:y="35"/>
              <w:spacing w:after="0" w:line="240" w:lineRule="auto"/>
              <w:rPr>
                <w:rFonts w:ascii="Arial" w:hAnsi="Arial" w:cs="Arial"/>
                <w:sz w:val="20"/>
                <w:szCs w:val="20"/>
              </w:rPr>
            </w:pPr>
            <w:r w:rsidRPr="002B1A63">
              <w:rPr>
                <w:rFonts w:ascii="Arial" w:hAnsi="Arial" w:cs="Arial"/>
                <w:sz w:val="20"/>
                <w:szCs w:val="20"/>
              </w:rPr>
              <w:t xml:space="preserve">Ashika </w:t>
            </w:r>
            <w:proofErr w:type="spellStart"/>
            <w:r w:rsidRPr="002B1A63">
              <w:rPr>
                <w:rFonts w:ascii="Arial" w:hAnsi="Arial" w:cs="Arial"/>
                <w:sz w:val="20"/>
                <w:szCs w:val="20"/>
              </w:rPr>
              <w:t>Dhondee</w:t>
            </w:r>
            <w:proofErr w:type="spellEnd"/>
            <w:r w:rsidRPr="002B1A63">
              <w:rPr>
                <w:rFonts w:ascii="Arial" w:hAnsi="Arial" w:cs="Arial"/>
                <w:sz w:val="20"/>
                <w:szCs w:val="20"/>
              </w:rPr>
              <w:t xml:space="preserve">, Alex Miller, Megan Almond, Rajan </w:t>
            </w:r>
            <w:proofErr w:type="spellStart"/>
            <w:r w:rsidRPr="002B1A63">
              <w:rPr>
                <w:rFonts w:ascii="Arial" w:hAnsi="Arial" w:cs="Arial"/>
                <w:sz w:val="20"/>
                <w:szCs w:val="20"/>
              </w:rPr>
              <w:t>Veeraterapillay</w:t>
            </w:r>
            <w:proofErr w:type="spellEnd"/>
            <w:r w:rsidRPr="002B1A63">
              <w:rPr>
                <w:rFonts w:ascii="Arial" w:hAnsi="Arial" w:cs="Arial"/>
                <w:sz w:val="20"/>
                <w:szCs w:val="20"/>
              </w:rPr>
              <w:t xml:space="preserve">, David Rix, Campbell Tait, Rahul </w:t>
            </w:r>
            <w:proofErr w:type="spellStart"/>
            <w:r w:rsidRPr="002B1A63">
              <w:rPr>
                <w:rFonts w:ascii="Arial" w:hAnsi="Arial" w:cs="Arial"/>
                <w:sz w:val="20"/>
                <w:szCs w:val="20"/>
              </w:rPr>
              <w:t>Gujadhur</w:t>
            </w:r>
            <w:proofErr w:type="spellEnd"/>
          </w:p>
          <w:p w:rsidR="00A35C2A" w:rsidRPr="002B1A63" w:rsidRDefault="00A35C2A" w:rsidP="00030F68">
            <w:pPr>
              <w:spacing w:after="0" w:line="240" w:lineRule="auto"/>
              <w:rPr>
                <w:rFonts w:ascii="Arial" w:hAnsi="Arial" w:cs="Arial"/>
                <w:sz w:val="20"/>
                <w:szCs w:val="20"/>
              </w:rPr>
            </w:pPr>
          </w:p>
        </w:tc>
      </w:tr>
      <w:tr w:rsidR="00A35C2A" w:rsidTr="00030F68">
        <w:tc>
          <w:tcPr>
            <w:tcW w:w="9214" w:type="dxa"/>
            <w:gridSpan w:val="2"/>
            <w:tcBorders>
              <w:top w:val="single" w:sz="4" w:space="0" w:color="auto"/>
              <w:left w:val="single" w:sz="4" w:space="0" w:color="auto"/>
              <w:bottom w:val="single" w:sz="4" w:space="0" w:color="auto"/>
              <w:right w:val="single" w:sz="4" w:space="0" w:color="auto"/>
            </w:tcBorders>
            <w:shd w:val="clear" w:color="auto" w:fill="D9D9D9"/>
          </w:tcPr>
          <w:p w:rsidR="00A35C2A" w:rsidRPr="002B1A63" w:rsidRDefault="00A35C2A" w:rsidP="00030F68">
            <w:pPr>
              <w:spacing w:after="0" w:line="240" w:lineRule="auto"/>
              <w:rPr>
                <w:rFonts w:ascii="Arial" w:hAnsi="Arial" w:cs="Arial"/>
                <w:sz w:val="20"/>
                <w:szCs w:val="20"/>
              </w:rPr>
            </w:pPr>
            <w:r w:rsidRPr="002B1A63">
              <w:rPr>
                <w:rFonts w:ascii="Arial" w:hAnsi="Arial" w:cs="Arial"/>
                <w:b/>
                <w:sz w:val="20"/>
                <w:szCs w:val="20"/>
              </w:rPr>
              <w:t>Aims</w:t>
            </w:r>
            <w:r w:rsidRPr="002B1A63">
              <w:rPr>
                <w:rFonts w:ascii="Arial" w:hAnsi="Arial" w:cs="Arial"/>
                <w:sz w:val="20"/>
                <w:szCs w:val="20"/>
              </w:rPr>
              <w:t>:</w:t>
            </w:r>
          </w:p>
          <w:p w:rsidR="00A35C2A" w:rsidRPr="002B1A63" w:rsidRDefault="00A35C2A" w:rsidP="00030F68">
            <w:pPr>
              <w:framePr w:hSpace="180" w:wrap="around" w:vAnchor="text" w:hAnchor="margin" w:y="35"/>
              <w:rPr>
                <w:rFonts w:ascii="Arial" w:hAnsi="Arial" w:cs="Arial"/>
                <w:sz w:val="20"/>
                <w:szCs w:val="20"/>
              </w:rPr>
            </w:pPr>
            <w:proofErr w:type="spellStart"/>
            <w:r w:rsidRPr="002B1A63">
              <w:rPr>
                <w:rFonts w:ascii="Arial" w:hAnsi="Arial" w:cs="Arial"/>
                <w:sz w:val="20"/>
                <w:szCs w:val="20"/>
              </w:rPr>
              <w:t>GreenLight</w:t>
            </w:r>
            <w:proofErr w:type="spellEnd"/>
            <w:r w:rsidRPr="002B1A63">
              <w:rPr>
                <w:rFonts w:ascii="Arial" w:hAnsi="Arial" w:cs="Arial"/>
                <w:sz w:val="20"/>
                <w:szCs w:val="20"/>
              </w:rPr>
              <w:t xml:space="preserve"> laser </w:t>
            </w:r>
            <w:proofErr w:type="spellStart"/>
            <w:r w:rsidRPr="002B1A63">
              <w:rPr>
                <w:rFonts w:ascii="Arial" w:hAnsi="Arial" w:cs="Arial"/>
                <w:sz w:val="20"/>
                <w:szCs w:val="20"/>
              </w:rPr>
              <w:t>photovaporization</w:t>
            </w:r>
            <w:proofErr w:type="spellEnd"/>
            <w:r w:rsidRPr="002B1A63">
              <w:rPr>
                <w:rFonts w:ascii="Arial" w:hAnsi="Arial" w:cs="Arial"/>
                <w:sz w:val="20"/>
                <w:szCs w:val="20"/>
              </w:rPr>
              <w:t xml:space="preserve"> of the prostate (GL PVP) has emerged as a widely accepted, minimally invasive treatment for benign prostatic enlargement (BPE), which was introduced at the Freeman in 2023, this audit </w:t>
            </w:r>
            <w:proofErr w:type="spellStart"/>
            <w:r w:rsidRPr="002B1A63">
              <w:rPr>
                <w:rFonts w:ascii="Arial" w:hAnsi="Arial" w:cs="Arial"/>
                <w:sz w:val="20"/>
                <w:szCs w:val="20"/>
              </w:rPr>
              <w:t>asesses</w:t>
            </w:r>
            <w:proofErr w:type="spellEnd"/>
            <w:r w:rsidRPr="002B1A63">
              <w:rPr>
                <w:rFonts w:ascii="Arial" w:hAnsi="Arial" w:cs="Arial"/>
                <w:sz w:val="20"/>
                <w:szCs w:val="20"/>
              </w:rPr>
              <w:t xml:space="preserve"> patient outcomes and waiting times, following its introduction. </w:t>
            </w:r>
          </w:p>
        </w:tc>
      </w:tr>
      <w:tr w:rsidR="00A35C2A" w:rsidTr="00030F68">
        <w:tc>
          <w:tcPr>
            <w:tcW w:w="9214" w:type="dxa"/>
            <w:gridSpan w:val="2"/>
            <w:tcBorders>
              <w:top w:val="single" w:sz="4" w:space="0" w:color="auto"/>
              <w:left w:val="single" w:sz="4" w:space="0" w:color="auto"/>
              <w:bottom w:val="single" w:sz="4" w:space="0" w:color="auto"/>
              <w:right w:val="single" w:sz="4" w:space="0" w:color="auto"/>
            </w:tcBorders>
            <w:shd w:val="clear" w:color="auto" w:fill="D9D9D9"/>
          </w:tcPr>
          <w:p w:rsidR="00A35C2A" w:rsidRPr="002B1A63" w:rsidRDefault="00A35C2A" w:rsidP="00030F68">
            <w:pPr>
              <w:spacing w:after="0" w:line="240" w:lineRule="auto"/>
              <w:rPr>
                <w:rFonts w:ascii="Arial" w:hAnsi="Arial" w:cs="Arial"/>
                <w:sz w:val="20"/>
                <w:szCs w:val="20"/>
              </w:rPr>
            </w:pPr>
            <w:r w:rsidRPr="002B1A63">
              <w:rPr>
                <w:rFonts w:ascii="Arial" w:hAnsi="Arial" w:cs="Arial"/>
                <w:b/>
                <w:sz w:val="20"/>
                <w:szCs w:val="20"/>
              </w:rPr>
              <w:t>Methods</w:t>
            </w:r>
            <w:r w:rsidRPr="002B1A63">
              <w:rPr>
                <w:rFonts w:ascii="Arial" w:hAnsi="Arial" w:cs="Arial"/>
                <w:sz w:val="20"/>
                <w:szCs w:val="20"/>
              </w:rPr>
              <w:t>:</w:t>
            </w:r>
          </w:p>
          <w:p w:rsidR="00A35C2A" w:rsidRPr="002B1A63" w:rsidRDefault="00A35C2A" w:rsidP="00030F68">
            <w:pPr>
              <w:spacing w:after="0" w:line="240" w:lineRule="auto"/>
              <w:rPr>
                <w:rFonts w:ascii="Arial" w:hAnsi="Arial" w:cs="Arial"/>
                <w:sz w:val="20"/>
                <w:szCs w:val="20"/>
              </w:rPr>
            </w:pPr>
            <w:r w:rsidRPr="002B1A63">
              <w:rPr>
                <w:rFonts w:ascii="Arial" w:hAnsi="Arial" w:cs="Arial"/>
                <w:sz w:val="20"/>
                <w:szCs w:val="20"/>
              </w:rPr>
              <w:t>A retrospective audit of GLPVP patient data from March 2023 - April 2024 reviewed: (a) waiting times &amp; LOS, (b) complications, (c) TWOC success &amp; (d) symptomatic relief.</w:t>
            </w:r>
          </w:p>
          <w:p w:rsidR="00A35C2A" w:rsidRPr="002B1A63" w:rsidRDefault="00A35C2A" w:rsidP="00030F68">
            <w:pPr>
              <w:spacing w:after="0" w:line="240" w:lineRule="auto"/>
              <w:rPr>
                <w:rFonts w:ascii="Arial" w:hAnsi="Arial" w:cs="Arial"/>
                <w:sz w:val="20"/>
                <w:szCs w:val="20"/>
              </w:rPr>
            </w:pPr>
          </w:p>
        </w:tc>
      </w:tr>
      <w:tr w:rsidR="00A35C2A" w:rsidTr="00030F68">
        <w:tc>
          <w:tcPr>
            <w:tcW w:w="9214" w:type="dxa"/>
            <w:gridSpan w:val="2"/>
            <w:tcBorders>
              <w:top w:val="single" w:sz="4" w:space="0" w:color="auto"/>
              <w:left w:val="single" w:sz="4" w:space="0" w:color="auto"/>
              <w:bottom w:val="single" w:sz="4" w:space="0" w:color="auto"/>
              <w:right w:val="single" w:sz="4" w:space="0" w:color="auto"/>
            </w:tcBorders>
            <w:shd w:val="clear" w:color="auto" w:fill="D9D9D9"/>
          </w:tcPr>
          <w:p w:rsidR="00A35C2A" w:rsidRPr="002B1A63" w:rsidRDefault="00A35C2A" w:rsidP="00030F68">
            <w:pPr>
              <w:spacing w:after="0" w:line="240" w:lineRule="auto"/>
              <w:rPr>
                <w:rFonts w:ascii="Arial" w:hAnsi="Arial" w:cs="Arial"/>
                <w:sz w:val="20"/>
                <w:szCs w:val="20"/>
              </w:rPr>
            </w:pPr>
            <w:r w:rsidRPr="002B1A63">
              <w:rPr>
                <w:rFonts w:ascii="Arial" w:hAnsi="Arial" w:cs="Arial"/>
                <w:b/>
                <w:sz w:val="20"/>
                <w:szCs w:val="20"/>
              </w:rPr>
              <w:t>Results</w:t>
            </w:r>
            <w:r w:rsidRPr="002B1A63">
              <w:rPr>
                <w:rFonts w:ascii="Arial" w:hAnsi="Arial" w:cs="Arial"/>
                <w:sz w:val="20"/>
                <w:szCs w:val="20"/>
              </w:rPr>
              <w:t>:</w:t>
            </w:r>
          </w:p>
          <w:p w:rsidR="00A35C2A" w:rsidRPr="002B1A63" w:rsidRDefault="00A35C2A" w:rsidP="00030F68">
            <w:pPr>
              <w:framePr w:hSpace="180" w:wrap="around" w:vAnchor="text" w:hAnchor="margin" w:y="35"/>
              <w:spacing w:after="0" w:line="240" w:lineRule="auto"/>
              <w:rPr>
                <w:rFonts w:ascii="Arial" w:hAnsi="Arial" w:cs="Arial"/>
                <w:sz w:val="20"/>
                <w:szCs w:val="20"/>
              </w:rPr>
            </w:pPr>
            <w:r w:rsidRPr="002B1A63">
              <w:rPr>
                <w:rFonts w:ascii="Arial" w:hAnsi="Arial" w:cs="Arial"/>
                <w:sz w:val="20"/>
                <w:szCs w:val="20"/>
              </w:rPr>
              <w:t xml:space="preserve">N=88 GLPVP cases, mean age 70yrs, 25/88 were anticoagulated. </w:t>
            </w:r>
          </w:p>
          <w:p w:rsidR="00A35C2A" w:rsidRPr="002B1A63" w:rsidRDefault="00A35C2A" w:rsidP="00030F68">
            <w:pPr>
              <w:framePr w:hSpace="180" w:wrap="around" w:vAnchor="text" w:hAnchor="margin" w:y="35"/>
              <w:spacing w:after="0" w:line="240" w:lineRule="auto"/>
              <w:rPr>
                <w:rFonts w:ascii="Arial" w:hAnsi="Arial" w:cs="Arial"/>
                <w:sz w:val="20"/>
                <w:szCs w:val="20"/>
              </w:rPr>
            </w:pPr>
            <w:r w:rsidRPr="002B1A63">
              <w:rPr>
                <w:rFonts w:ascii="Arial" w:hAnsi="Arial" w:cs="Arial"/>
                <w:sz w:val="20"/>
                <w:szCs w:val="20"/>
              </w:rPr>
              <w:t xml:space="preserve">Mean prostate size for GLPVP = 57cc, (range = 20-114cc). Mean prostate size for TURP = 41cc (range= 30-75cc). </w:t>
            </w:r>
          </w:p>
          <w:p w:rsidR="00A35C2A" w:rsidRPr="002B1A63" w:rsidRDefault="00A35C2A" w:rsidP="00030F68">
            <w:pPr>
              <w:spacing w:after="0" w:line="240" w:lineRule="auto"/>
              <w:rPr>
                <w:rFonts w:ascii="Arial" w:hAnsi="Arial" w:cs="Arial"/>
                <w:sz w:val="20"/>
                <w:szCs w:val="20"/>
              </w:rPr>
            </w:pPr>
          </w:p>
          <w:tbl>
            <w:tblPr>
              <w:tblW w:w="6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7"/>
              <w:gridCol w:w="966"/>
              <w:gridCol w:w="966"/>
            </w:tblGrid>
            <w:tr w:rsidR="00A35C2A" w:rsidRPr="002B1A63" w:rsidTr="00030F68">
              <w:trPr>
                <w:trHeight w:val="207"/>
              </w:trPr>
              <w:tc>
                <w:tcPr>
                  <w:tcW w:w="4297" w:type="dxa"/>
                  <w:shd w:val="clear" w:color="auto" w:fill="auto"/>
                  <w:noWrap/>
                  <w:vAlign w:val="bottom"/>
                </w:tcPr>
                <w:p w:rsidR="00A35C2A" w:rsidRPr="002B1A63" w:rsidRDefault="00A35C2A" w:rsidP="00030F68">
                  <w:pPr>
                    <w:spacing w:after="0" w:line="240" w:lineRule="auto"/>
                    <w:rPr>
                      <w:rFonts w:ascii="Arial" w:eastAsia="Times New Roman" w:hAnsi="Arial" w:cs="Arial"/>
                      <w:color w:val="000000"/>
                      <w:sz w:val="20"/>
                      <w:szCs w:val="20"/>
                      <w:lang w:eastAsia="en-GB"/>
                    </w:rPr>
                  </w:pPr>
                </w:p>
              </w:tc>
              <w:tc>
                <w:tcPr>
                  <w:tcW w:w="966" w:type="dxa"/>
                  <w:shd w:val="clear" w:color="auto" w:fill="auto"/>
                  <w:noWrap/>
                  <w:vAlign w:val="bottom"/>
                </w:tcPr>
                <w:p w:rsidR="00A35C2A" w:rsidRPr="002B1A63" w:rsidRDefault="00A35C2A" w:rsidP="00030F68">
                  <w:pPr>
                    <w:spacing w:after="0" w:line="240" w:lineRule="auto"/>
                    <w:jc w:val="right"/>
                    <w:rPr>
                      <w:rFonts w:ascii="Arial" w:eastAsia="Times New Roman" w:hAnsi="Arial" w:cs="Arial"/>
                      <w:color w:val="000000"/>
                      <w:sz w:val="20"/>
                      <w:szCs w:val="20"/>
                      <w:lang w:eastAsia="en-GB"/>
                    </w:rPr>
                  </w:pPr>
                  <w:r w:rsidRPr="002B1A63">
                    <w:rPr>
                      <w:rFonts w:ascii="Arial" w:eastAsia="Times New Roman" w:hAnsi="Arial" w:cs="Arial"/>
                      <w:color w:val="000000"/>
                      <w:sz w:val="20"/>
                      <w:szCs w:val="20"/>
                      <w:lang w:eastAsia="en-GB"/>
                    </w:rPr>
                    <w:t>FRH</w:t>
                  </w:r>
                </w:p>
              </w:tc>
              <w:tc>
                <w:tcPr>
                  <w:tcW w:w="966" w:type="dxa"/>
                </w:tcPr>
                <w:p w:rsidR="00A35C2A" w:rsidRPr="002B1A63" w:rsidRDefault="00A35C2A" w:rsidP="00030F68">
                  <w:pPr>
                    <w:spacing w:after="0" w:line="240" w:lineRule="auto"/>
                    <w:jc w:val="right"/>
                    <w:rPr>
                      <w:rFonts w:ascii="Arial" w:eastAsia="Times New Roman" w:hAnsi="Arial" w:cs="Arial"/>
                      <w:color w:val="000000"/>
                      <w:sz w:val="20"/>
                      <w:szCs w:val="20"/>
                      <w:lang w:eastAsia="en-GB"/>
                    </w:rPr>
                  </w:pPr>
                  <w:r w:rsidRPr="002B1A63">
                    <w:rPr>
                      <w:rFonts w:ascii="Arial" w:eastAsia="Times New Roman" w:hAnsi="Arial" w:cs="Arial"/>
                      <w:color w:val="000000"/>
                      <w:sz w:val="20"/>
                      <w:szCs w:val="20"/>
                      <w:lang w:eastAsia="en-GB"/>
                    </w:rPr>
                    <w:t>BAUS</w:t>
                  </w:r>
                </w:p>
              </w:tc>
            </w:tr>
            <w:tr w:rsidR="00A35C2A" w:rsidRPr="002B1A63" w:rsidTr="00030F68">
              <w:trPr>
                <w:trHeight w:val="207"/>
              </w:trPr>
              <w:tc>
                <w:tcPr>
                  <w:tcW w:w="4297" w:type="dxa"/>
                  <w:shd w:val="clear" w:color="auto" w:fill="auto"/>
                  <w:noWrap/>
                  <w:vAlign w:val="bottom"/>
                </w:tcPr>
                <w:p w:rsidR="00A35C2A" w:rsidRPr="002B1A63" w:rsidRDefault="00A35C2A" w:rsidP="00030F68">
                  <w:pPr>
                    <w:spacing w:after="0" w:line="240" w:lineRule="auto"/>
                    <w:rPr>
                      <w:rFonts w:ascii="Arial" w:eastAsia="Times New Roman" w:hAnsi="Arial" w:cs="Arial"/>
                      <w:color w:val="000000"/>
                      <w:sz w:val="20"/>
                      <w:szCs w:val="20"/>
                      <w:lang w:eastAsia="en-GB"/>
                    </w:rPr>
                  </w:pPr>
                  <w:r w:rsidRPr="002B1A63">
                    <w:rPr>
                      <w:rFonts w:ascii="Arial" w:eastAsia="Times New Roman" w:hAnsi="Arial" w:cs="Arial"/>
                      <w:color w:val="000000"/>
                      <w:sz w:val="20"/>
                      <w:szCs w:val="20"/>
                      <w:lang w:eastAsia="en-GB"/>
                    </w:rPr>
                    <w:t>UTI (requiring oral antibiotics)</w:t>
                  </w:r>
                </w:p>
              </w:tc>
              <w:tc>
                <w:tcPr>
                  <w:tcW w:w="966" w:type="dxa"/>
                  <w:shd w:val="clear" w:color="auto" w:fill="auto"/>
                  <w:noWrap/>
                  <w:vAlign w:val="bottom"/>
                </w:tcPr>
                <w:p w:rsidR="00A35C2A" w:rsidRPr="002B1A63" w:rsidRDefault="00A35C2A" w:rsidP="00030F68">
                  <w:pPr>
                    <w:spacing w:after="0" w:line="240" w:lineRule="auto"/>
                    <w:jc w:val="right"/>
                    <w:rPr>
                      <w:rFonts w:ascii="Arial" w:eastAsia="Times New Roman" w:hAnsi="Arial" w:cs="Arial"/>
                      <w:color w:val="000000"/>
                      <w:sz w:val="20"/>
                      <w:szCs w:val="20"/>
                      <w:lang w:eastAsia="en-GB"/>
                    </w:rPr>
                  </w:pPr>
                  <w:r w:rsidRPr="002B1A63">
                    <w:rPr>
                      <w:rFonts w:ascii="Arial" w:eastAsia="Times New Roman" w:hAnsi="Arial" w:cs="Arial"/>
                      <w:color w:val="000000"/>
                      <w:sz w:val="20"/>
                      <w:szCs w:val="20"/>
                      <w:lang w:eastAsia="en-GB"/>
                    </w:rPr>
                    <w:t xml:space="preserve">8% </w:t>
                  </w:r>
                </w:p>
              </w:tc>
              <w:tc>
                <w:tcPr>
                  <w:tcW w:w="966" w:type="dxa"/>
                </w:tcPr>
                <w:p w:rsidR="00A35C2A" w:rsidRPr="002B1A63" w:rsidRDefault="00A35C2A" w:rsidP="00030F68">
                  <w:pPr>
                    <w:spacing w:after="0" w:line="240" w:lineRule="auto"/>
                    <w:jc w:val="right"/>
                    <w:rPr>
                      <w:rFonts w:ascii="Arial" w:eastAsia="Times New Roman" w:hAnsi="Arial" w:cs="Arial"/>
                      <w:color w:val="000000"/>
                      <w:sz w:val="20"/>
                      <w:szCs w:val="20"/>
                      <w:lang w:eastAsia="en-GB"/>
                    </w:rPr>
                  </w:pPr>
                  <w:r w:rsidRPr="002B1A63">
                    <w:rPr>
                      <w:rFonts w:ascii="Arial" w:eastAsia="Times New Roman" w:hAnsi="Arial" w:cs="Arial"/>
                      <w:color w:val="000000"/>
                      <w:sz w:val="20"/>
                      <w:szCs w:val="20"/>
                      <w:lang w:eastAsia="en-GB"/>
                    </w:rPr>
                    <w:t>5%</w:t>
                  </w:r>
                </w:p>
              </w:tc>
            </w:tr>
            <w:tr w:rsidR="00A35C2A" w:rsidRPr="002B1A63" w:rsidTr="00030F68">
              <w:trPr>
                <w:trHeight w:val="207"/>
              </w:trPr>
              <w:tc>
                <w:tcPr>
                  <w:tcW w:w="4297" w:type="dxa"/>
                  <w:shd w:val="clear" w:color="auto" w:fill="auto"/>
                  <w:noWrap/>
                  <w:vAlign w:val="bottom"/>
                  <w:hideMark/>
                </w:tcPr>
                <w:p w:rsidR="00A35C2A" w:rsidRPr="002B1A63" w:rsidRDefault="00A35C2A" w:rsidP="00030F68">
                  <w:pPr>
                    <w:spacing w:after="0" w:line="240" w:lineRule="auto"/>
                    <w:rPr>
                      <w:rFonts w:ascii="Arial" w:eastAsia="Times New Roman" w:hAnsi="Arial" w:cs="Arial"/>
                      <w:color w:val="000000"/>
                      <w:sz w:val="20"/>
                      <w:szCs w:val="20"/>
                      <w:lang w:eastAsia="en-GB"/>
                    </w:rPr>
                  </w:pPr>
                  <w:r w:rsidRPr="002B1A63">
                    <w:rPr>
                      <w:rFonts w:ascii="Arial" w:eastAsia="Times New Roman" w:hAnsi="Arial" w:cs="Arial"/>
                      <w:color w:val="000000"/>
                      <w:sz w:val="20"/>
                      <w:szCs w:val="20"/>
                      <w:lang w:eastAsia="en-GB"/>
                    </w:rPr>
                    <w:t xml:space="preserve">Haematuria (of which 2/3 needed admission for washouts via catheter) </w:t>
                  </w:r>
                </w:p>
              </w:tc>
              <w:tc>
                <w:tcPr>
                  <w:tcW w:w="966" w:type="dxa"/>
                  <w:shd w:val="clear" w:color="auto" w:fill="auto"/>
                  <w:noWrap/>
                  <w:vAlign w:val="bottom"/>
                  <w:hideMark/>
                </w:tcPr>
                <w:p w:rsidR="00A35C2A" w:rsidRPr="002B1A63" w:rsidRDefault="00A35C2A" w:rsidP="00030F68">
                  <w:pPr>
                    <w:spacing w:after="0" w:line="240" w:lineRule="auto"/>
                    <w:jc w:val="right"/>
                    <w:rPr>
                      <w:rFonts w:ascii="Arial" w:eastAsia="Times New Roman" w:hAnsi="Arial" w:cs="Arial"/>
                      <w:color w:val="000000"/>
                      <w:sz w:val="20"/>
                      <w:szCs w:val="20"/>
                      <w:lang w:eastAsia="en-GB"/>
                    </w:rPr>
                  </w:pPr>
                  <w:r w:rsidRPr="002B1A63">
                    <w:rPr>
                      <w:rFonts w:ascii="Arial" w:eastAsia="Times New Roman" w:hAnsi="Arial" w:cs="Arial"/>
                      <w:color w:val="000000"/>
                      <w:sz w:val="20"/>
                      <w:szCs w:val="20"/>
                      <w:lang w:eastAsia="en-GB"/>
                    </w:rPr>
                    <w:t>3%</w:t>
                  </w:r>
                </w:p>
              </w:tc>
              <w:tc>
                <w:tcPr>
                  <w:tcW w:w="966" w:type="dxa"/>
                </w:tcPr>
                <w:p w:rsidR="00A35C2A" w:rsidRPr="002B1A63" w:rsidRDefault="00A35C2A" w:rsidP="00030F68">
                  <w:pPr>
                    <w:spacing w:after="0" w:line="240" w:lineRule="auto"/>
                    <w:jc w:val="right"/>
                    <w:rPr>
                      <w:rFonts w:ascii="Arial" w:eastAsia="Times New Roman" w:hAnsi="Arial" w:cs="Arial"/>
                      <w:color w:val="000000"/>
                      <w:sz w:val="20"/>
                      <w:szCs w:val="20"/>
                      <w:lang w:eastAsia="en-GB"/>
                    </w:rPr>
                  </w:pPr>
                  <w:r w:rsidRPr="002B1A63">
                    <w:rPr>
                      <w:rFonts w:ascii="Arial" w:eastAsia="Times New Roman" w:hAnsi="Arial" w:cs="Arial"/>
                      <w:color w:val="000000"/>
                      <w:sz w:val="20"/>
                      <w:szCs w:val="20"/>
                      <w:lang w:eastAsia="en-GB"/>
                    </w:rPr>
                    <w:t>10-50%</w:t>
                  </w:r>
                </w:p>
              </w:tc>
            </w:tr>
            <w:tr w:rsidR="00A35C2A" w:rsidRPr="002B1A63" w:rsidTr="00030F68">
              <w:trPr>
                <w:trHeight w:val="207"/>
              </w:trPr>
              <w:tc>
                <w:tcPr>
                  <w:tcW w:w="4297" w:type="dxa"/>
                  <w:shd w:val="clear" w:color="auto" w:fill="auto"/>
                  <w:noWrap/>
                  <w:vAlign w:val="bottom"/>
                  <w:hideMark/>
                </w:tcPr>
                <w:p w:rsidR="00A35C2A" w:rsidRPr="002B1A63" w:rsidRDefault="00A35C2A" w:rsidP="00030F68">
                  <w:pPr>
                    <w:spacing w:after="0" w:line="240" w:lineRule="auto"/>
                    <w:rPr>
                      <w:rFonts w:ascii="Arial" w:eastAsia="Times New Roman" w:hAnsi="Arial" w:cs="Arial"/>
                      <w:color w:val="000000"/>
                      <w:sz w:val="20"/>
                      <w:szCs w:val="20"/>
                      <w:lang w:eastAsia="en-GB"/>
                    </w:rPr>
                  </w:pPr>
                  <w:r w:rsidRPr="002B1A63">
                    <w:rPr>
                      <w:rFonts w:ascii="Arial" w:eastAsia="Times New Roman" w:hAnsi="Arial" w:cs="Arial"/>
                      <w:color w:val="000000"/>
                      <w:sz w:val="20"/>
                      <w:szCs w:val="20"/>
                      <w:lang w:eastAsia="en-GB"/>
                    </w:rPr>
                    <w:t>Urethral stricture (required surgical intervention)</w:t>
                  </w:r>
                </w:p>
              </w:tc>
              <w:tc>
                <w:tcPr>
                  <w:tcW w:w="966" w:type="dxa"/>
                  <w:shd w:val="clear" w:color="auto" w:fill="auto"/>
                  <w:noWrap/>
                  <w:vAlign w:val="bottom"/>
                  <w:hideMark/>
                </w:tcPr>
                <w:p w:rsidR="00A35C2A" w:rsidRPr="002B1A63" w:rsidRDefault="00A35C2A" w:rsidP="00030F68">
                  <w:pPr>
                    <w:spacing w:after="0" w:line="240" w:lineRule="auto"/>
                    <w:jc w:val="right"/>
                    <w:rPr>
                      <w:rFonts w:ascii="Arial" w:eastAsia="Times New Roman" w:hAnsi="Arial" w:cs="Arial"/>
                      <w:color w:val="000000"/>
                      <w:sz w:val="20"/>
                      <w:szCs w:val="20"/>
                      <w:lang w:eastAsia="en-GB"/>
                    </w:rPr>
                  </w:pPr>
                  <w:r w:rsidRPr="002B1A63">
                    <w:rPr>
                      <w:rFonts w:ascii="Arial" w:eastAsia="Times New Roman" w:hAnsi="Arial" w:cs="Arial"/>
                      <w:color w:val="000000"/>
                      <w:sz w:val="20"/>
                      <w:szCs w:val="20"/>
                      <w:lang w:eastAsia="en-GB"/>
                    </w:rPr>
                    <w:t>3%</w:t>
                  </w:r>
                </w:p>
              </w:tc>
              <w:tc>
                <w:tcPr>
                  <w:tcW w:w="966" w:type="dxa"/>
                </w:tcPr>
                <w:p w:rsidR="00A35C2A" w:rsidRPr="002B1A63" w:rsidRDefault="00A35C2A" w:rsidP="00030F68">
                  <w:pPr>
                    <w:spacing w:after="0" w:line="240" w:lineRule="auto"/>
                    <w:jc w:val="right"/>
                    <w:rPr>
                      <w:rFonts w:ascii="Arial" w:eastAsia="Times New Roman" w:hAnsi="Arial" w:cs="Arial"/>
                      <w:color w:val="000000"/>
                      <w:sz w:val="20"/>
                      <w:szCs w:val="20"/>
                      <w:lang w:eastAsia="en-GB"/>
                    </w:rPr>
                  </w:pPr>
                </w:p>
                <w:p w:rsidR="00A35C2A" w:rsidRPr="002B1A63" w:rsidRDefault="00A35C2A" w:rsidP="00030F68">
                  <w:pPr>
                    <w:spacing w:after="0" w:line="240" w:lineRule="auto"/>
                    <w:jc w:val="right"/>
                    <w:rPr>
                      <w:rFonts w:ascii="Arial" w:eastAsia="Times New Roman" w:hAnsi="Arial" w:cs="Arial"/>
                      <w:color w:val="000000"/>
                      <w:sz w:val="20"/>
                      <w:szCs w:val="20"/>
                      <w:lang w:eastAsia="en-GB"/>
                    </w:rPr>
                  </w:pPr>
                  <w:r w:rsidRPr="002B1A63">
                    <w:rPr>
                      <w:rFonts w:ascii="Arial" w:eastAsia="Times New Roman" w:hAnsi="Arial" w:cs="Arial"/>
                      <w:color w:val="000000"/>
                      <w:sz w:val="20"/>
                      <w:szCs w:val="20"/>
                      <w:lang w:eastAsia="en-GB"/>
                    </w:rPr>
                    <w:t>2%</w:t>
                  </w:r>
                </w:p>
              </w:tc>
            </w:tr>
            <w:tr w:rsidR="00A35C2A" w:rsidRPr="002B1A63" w:rsidTr="00030F68">
              <w:trPr>
                <w:trHeight w:val="207"/>
              </w:trPr>
              <w:tc>
                <w:tcPr>
                  <w:tcW w:w="4297" w:type="dxa"/>
                  <w:shd w:val="clear" w:color="auto" w:fill="auto"/>
                  <w:noWrap/>
                  <w:vAlign w:val="bottom"/>
                  <w:hideMark/>
                </w:tcPr>
                <w:p w:rsidR="00A35C2A" w:rsidRPr="002B1A63" w:rsidRDefault="00A35C2A" w:rsidP="00030F68">
                  <w:pPr>
                    <w:spacing w:after="0" w:line="240" w:lineRule="auto"/>
                    <w:rPr>
                      <w:rFonts w:ascii="Arial" w:eastAsia="Times New Roman" w:hAnsi="Arial" w:cs="Arial"/>
                      <w:color w:val="000000"/>
                      <w:sz w:val="20"/>
                      <w:szCs w:val="20"/>
                      <w:lang w:eastAsia="en-GB"/>
                    </w:rPr>
                  </w:pPr>
                  <w:r w:rsidRPr="002B1A63">
                    <w:rPr>
                      <w:rFonts w:ascii="Arial" w:eastAsia="Times New Roman" w:hAnsi="Arial" w:cs="Arial"/>
                      <w:color w:val="000000"/>
                      <w:sz w:val="20"/>
                      <w:szCs w:val="20"/>
                      <w:lang w:eastAsia="en-GB"/>
                    </w:rPr>
                    <w:t xml:space="preserve">Failed to improve required salvage </w:t>
                  </w:r>
                  <w:proofErr w:type="spellStart"/>
                  <w:r w:rsidRPr="002B1A63">
                    <w:rPr>
                      <w:rFonts w:ascii="Arial" w:eastAsia="Times New Roman" w:hAnsi="Arial" w:cs="Arial"/>
                      <w:color w:val="000000"/>
                      <w:sz w:val="20"/>
                      <w:szCs w:val="20"/>
                      <w:lang w:eastAsia="en-GB"/>
                    </w:rPr>
                    <w:t>HoLEP</w:t>
                  </w:r>
                  <w:proofErr w:type="spellEnd"/>
                  <w:r w:rsidRPr="002B1A63">
                    <w:rPr>
                      <w:rFonts w:ascii="Arial" w:eastAsia="Times New Roman" w:hAnsi="Arial" w:cs="Arial"/>
                      <w:color w:val="000000"/>
                      <w:sz w:val="20"/>
                      <w:szCs w:val="20"/>
                      <w:lang w:eastAsia="en-GB"/>
                    </w:rPr>
                    <w:t xml:space="preserve"> </w:t>
                  </w:r>
                </w:p>
              </w:tc>
              <w:tc>
                <w:tcPr>
                  <w:tcW w:w="966" w:type="dxa"/>
                  <w:shd w:val="clear" w:color="auto" w:fill="auto"/>
                  <w:noWrap/>
                  <w:vAlign w:val="bottom"/>
                  <w:hideMark/>
                </w:tcPr>
                <w:p w:rsidR="00A35C2A" w:rsidRPr="002B1A63" w:rsidRDefault="00A35C2A" w:rsidP="00030F68">
                  <w:pPr>
                    <w:spacing w:after="0" w:line="240" w:lineRule="auto"/>
                    <w:jc w:val="right"/>
                    <w:rPr>
                      <w:rFonts w:ascii="Arial" w:eastAsia="Times New Roman" w:hAnsi="Arial" w:cs="Arial"/>
                      <w:color w:val="000000"/>
                      <w:sz w:val="20"/>
                      <w:szCs w:val="20"/>
                      <w:lang w:eastAsia="en-GB"/>
                    </w:rPr>
                  </w:pPr>
                  <w:r w:rsidRPr="002B1A63">
                    <w:rPr>
                      <w:rFonts w:ascii="Arial" w:eastAsia="Times New Roman" w:hAnsi="Arial" w:cs="Arial"/>
                      <w:color w:val="000000"/>
                      <w:sz w:val="20"/>
                      <w:szCs w:val="20"/>
                      <w:lang w:eastAsia="en-GB"/>
                    </w:rPr>
                    <w:t>1</w:t>
                  </w:r>
                </w:p>
              </w:tc>
              <w:tc>
                <w:tcPr>
                  <w:tcW w:w="966" w:type="dxa"/>
                </w:tcPr>
                <w:p w:rsidR="00A35C2A" w:rsidRPr="002B1A63" w:rsidRDefault="00A35C2A" w:rsidP="00030F68">
                  <w:pPr>
                    <w:spacing w:after="0" w:line="240" w:lineRule="auto"/>
                    <w:jc w:val="right"/>
                    <w:rPr>
                      <w:rFonts w:ascii="Arial" w:eastAsia="Times New Roman" w:hAnsi="Arial" w:cs="Arial"/>
                      <w:color w:val="000000"/>
                      <w:sz w:val="20"/>
                      <w:szCs w:val="20"/>
                      <w:lang w:eastAsia="en-GB"/>
                    </w:rPr>
                  </w:pPr>
                  <w:r w:rsidRPr="002B1A63">
                    <w:rPr>
                      <w:rFonts w:ascii="Arial" w:eastAsia="Times New Roman" w:hAnsi="Arial" w:cs="Arial"/>
                      <w:color w:val="000000"/>
                      <w:sz w:val="20"/>
                      <w:szCs w:val="20"/>
                      <w:lang w:eastAsia="en-GB"/>
                    </w:rPr>
                    <w:t>Not quoted</w:t>
                  </w:r>
                </w:p>
              </w:tc>
            </w:tr>
            <w:tr w:rsidR="00A35C2A" w:rsidRPr="002B1A63" w:rsidTr="00030F68">
              <w:trPr>
                <w:trHeight w:val="207"/>
              </w:trPr>
              <w:tc>
                <w:tcPr>
                  <w:tcW w:w="4297" w:type="dxa"/>
                  <w:shd w:val="clear" w:color="auto" w:fill="auto"/>
                  <w:noWrap/>
                  <w:vAlign w:val="bottom"/>
                  <w:hideMark/>
                </w:tcPr>
                <w:p w:rsidR="00A35C2A" w:rsidRPr="002B1A63" w:rsidRDefault="00A35C2A" w:rsidP="00030F68">
                  <w:pPr>
                    <w:spacing w:after="0" w:line="240" w:lineRule="auto"/>
                    <w:rPr>
                      <w:rFonts w:ascii="Arial" w:eastAsia="Times New Roman" w:hAnsi="Arial" w:cs="Arial"/>
                      <w:color w:val="000000"/>
                      <w:sz w:val="20"/>
                      <w:szCs w:val="20"/>
                      <w:lang w:eastAsia="en-GB"/>
                    </w:rPr>
                  </w:pPr>
                  <w:proofErr w:type="spellStart"/>
                  <w:r w:rsidRPr="002B1A63">
                    <w:rPr>
                      <w:rFonts w:ascii="Arial" w:eastAsia="Times New Roman" w:hAnsi="Arial" w:cs="Arial"/>
                      <w:color w:val="000000"/>
                      <w:sz w:val="20"/>
                      <w:szCs w:val="20"/>
                      <w:lang w:eastAsia="en-GB"/>
                    </w:rPr>
                    <w:t>Osteitits</w:t>
                  </w:r>
                  <w:proofErr w:type="spellEnd"/>
                  <w:r w:rsidRPr="002B1A63">
                    <w:rPr>
                      <w:rFonts w:ascii="Arial" w:eastAsia="Times New Roman" w:hAnsi="Arial" w:cs="Arial"/>
                      <w:color w:val="000000"/>
                      <w:sz w:val="20"/>
                      <w:szCs w:val="20"/>
                      <w:lang w:eastAsia="en-GB"/>
                    </w:rPr>
                    <w:t xml:space="preserve"> pubis (IV antibiotics then long term) </w:t>
                  </w:r>
                </w:p>
              </w:tc>
              <w:tc>
                <w:tcPr>
                  <w:tcW w:w="966" w:type="dxa"/>
                  <w:shd w:val="clear" w:color="auto" w:fill="auto"/>
                  <w:noWrap/>
                  <w:vAlign w:val="bottom"/>
                  <w:hideMark/>
                </w:tcPr>
                <w:p w:rsidR="00A35C2A" w:rsidRPr="002B1A63" w:rsidRDefault="00A35C2A" w:rsidP="00030F68">
                  <w:pPr>
                    <w:spacing w:after="0" w:line="240" w:lineRule="auto"/>
                    <w:jc w:val="right"/>
                    <w:rPr>
                      <w:rFonts w:ascii="Arial" w:eastAsia="Times New Roman" w:hAnsi="Arial" w:cs="Arial"/>
                      <w:color w:val="000000"/>
                      <w:sz w:val="20"/>
                      <w:szCs w:val="20"/>
                      <w:lang w:eastAsia="en-GB"/>
                    </w:rPr>
                  </w:pPr>
                  <w:r w:rsidRPr="002B1A63">
                    <w:rPr>
                      <w:rFonts w:ascii="Arial" w:eastAsia="Times New Roman" w:hAnsi="Arial" w:cs="Arial"/>
                      <w:color w:val="000000"/>
                      <w:sz w:val="20"/>
                      <w:szCs w:val="20"/>
                      <w:lang w:eastAsia="en-GB"/>
                    </w:rPr>
                    <w:t>1</w:t>
                  </w:r>
                </w:p>
              </w:tc>
              <w:tc>
                <w:tcPr>
                  <w:tcW w:w="966" w:type="dxa"/>
                </w:tcPr>
                <w:p w:rsidR="00A35C2A" w:rsidRPr="002B1A63" w:rsidRDefault="00A35C2A" w:rsidP="00030F68">
                  <w:pPr>
                    <w:spacing w:after="0" w:line="240" w:lineRule="auto"/>
                    <w:jc w:val="right"/>
                    <w:rPr>
                      <w:rFonts w:ascii="Arial" w:eastAsia="Times New Roman" w:hAnsi="Arial" w:cs="Arial"/>
                      <w:color w:val="000000"/>
                      <w:sz w:val="20"/>
                      <w:szCs w:val="20"/>
                      <w:lang w:eastAsia="en-GB"/>
                    </w:rPr>
                  </w:pPr>
                  <w:r w:rsidRPr="002B1A63">
                    <w:rPr>
                      <w:rFonts w:ascii="Arial" w:eastAsia="Times New Roman" w:hAnsi="Arial" w:cs="Arial"/>
                      <w:color w:val="000000"/>
                      <w:sz w:val="20"/>
                      <w:szCs w:val="20"/>
                      <w:lang w:eastAsia="en-GB"/>
                    </w:rPr>
                    <w:t xml:space="preserve">Not quoted </w:t>
                  </w:r>
                </w:p>
              </w:tc>
            </w:tr>
            <w:tr w:rsidR="00A35C2A" w:rsidRPr="002B1A63" w:rsidTr="00030F68">
              <w:trPr>
                <w:trHeight w:val="497"/>
              </w:trPr>
              <w:tc>
                <w:tcPr>
                  <w:tcW w:w="4297" w:type="dxa"/>
                  <w:shd w:val="clear" w:color="auto" w:fill="auto"/>
                  <w:noWrap/>
                  <w:vAlign w:val="bottom"/>
                  <w:hideMark/>
                </w:tcPr>
                <w:p w:rsidR="00A35C2A" w:rsidRPr="002B1A63" w:rsidRDefault="00A35C2A" w:rsidP="00030F68">
                  <w:pPr>
                    <w:spacing w:after="0" w:line="240" w:lineRule="auto"/>
                    <w:rPr>
                      <w:rFonts w:ascii="Arial" w:eastAsia="Times New Roman" w:hAnsi="Arial" w:cs="Arial"/>
                      <w:color w:val="000000"/>
                      <w:sz w:val="20"/>
                      <w:szCs w:val="20"/>
                      <w:lang w:eastAsia="en-GB"/>
                    </w:rPr>
                  </w:pPr>
                  <w:r w:rsidRPr="002B1A63">
                    <w:rPr>
                      <w:rFonts w:ascii="Arial" w:eastAsia="Times New Roman" w:hAnsi="Arial" w:cs="Arial"/>
                      <w:color w:val="000000"/>
                      <w:sz w:val="20"/>
                      <w:szCs w:val="20"/>
                      <w:lang w:eastAsia="en-GB"/>
                    </w:rPr>
                    <w:t xml:space="preserve">UTI (requiring IV antibiotics) </w:t>
                  </w:r>
                </w:p>
              </w:tc>
              <w:tc>
                <w:tcPr>
                  <w:tcW w:w="966" w:type="dxa"/>
                  <w:shd w:val="clear" w:color="auto" w:fill="auto"/>
                  <w:noWrap/>
                  <w:vAlign w:val="bottom"/>
                  <w:hideMark/>
                </w:tcPr>
                <w:p w:rsidR="00A35C2A" w:rsidRPr="002B1A63" w:rsidRDefault="00A35C2A" w:rsidP="00030F68">
                  <w:pPr>
                    <w:spacing w:after="0" w:line="240" w:lineRule="auto"/>
                    <w:jc w:val="right"/>
                    <w:rPr>
                      <w:rFonts w:ascii="Arial" w:eastAsia="Times New Roman" w:hAnsi="Arial" w:cs="Arial"/>
                      <w:color w:val="000000"/>
                      <w:sz w:val="20"/>
                      <w:szCs w:val="20"/>
                      <w:lang w:eastAsia="en-GB"/>
                    </w:rPr>
                  </w:pPr>
                  <w:r w:rsidRPr="002B1A63">
                    <w:rPr>
                      <w:rFonts w:ascii="Arial" w:eastAsia="Times New Roman" w:hAnsi="Arial" w:cs="Arial"/>
                      <w:color w:val="000000"/>
                      <w:sz w:val="20"/>
                      <w:szCs w:val="20"/>
                      <w:lang w:eastAsia="en-GB"/>
                    </w:rPr>
                    <w:t>4.5%</w:t>
                  </w:r>
                </w:p>
              </w:tc>
              <w:tc>
                <w:tcPr>
                  <w:tcW w:w="966" w:type="dxa"/>
                </w:tcPr>
                <w:p w:rsidR="00A35C2A" w:rsidRPr="002B1A63" w:rsidRDefault="00A35C2A" w:rsidP="00030F68">
                  <w:pPr>
                    <w:spacing w:after="0" w:line="240" w:lineRule="auto"/>
                    <w:jc w:val="right"/>
                    <w:rPr>
                      <w:rFonts w:ascii="Arial" w:eastAsia="Times New Roman" w:hAnsi="Arial" w:cs="Arial"/>
                      <w:color w:val="000000"/>
                      <w:sz w:val="20"/>
                      <w:szCs w:val="20"/>
                      <w:lang w:eastAsia="en-GB"/>
                    </w:rPr>
                  </w:pPr>
                  <w:r w:rsidRPr="002B1A63">
                    <w:rPr>
                      <w:rFonts w:ascii="Arial" w:eastAsia="Times New Roman" w:hAnsi="Arial" w:cs="Arial"/>
                      <w:color w:val="000000"/>
                      <w:sz w:val="20"/>
                      <w:szCs w:val="20"/>
                      <w:lang w:eastAsia="en-GB"/>
                    </w:rPr>
                    <w:t>1-2%</w:t>
                  </w:r>
                </w:p>
              </w:tc>
            </w:tr>
          </w:tbl>
          <w:p w:rsidR="00A35C2A" w:rsidRPr="002B1A63" w:rsidRDefault="00A35C2A" w:rsidP="00030F68">
            <w:pPr>
              <w:spacing w:after="0" w:line="240" w:lineRule="auto"/>
              <w:rPr>
                <w:rFonts w:ascii="Arial" w:hAnsi="Arial" w:cs="Arial"/>
                <w:sz w:val="20"/>
                <w:szCs w:val="20"/>
              </w:rPr>
            </w:pPr>
          </w:p>
          <w:p w:rsidR="00A35C2A" w:rsidRPr="002B1A63" w:rsidRDefault="00A35C2A" w:rsidP="00030F68">
            <w:pPr>
              <w:pStyle w:val="ListParagraph"/>
              <w:framePr w:hSpace="180" w:wrap="around" w:vAnchor="text" w:hAnchor="margin" w:y="35"/>
              <w:numPr>
                <w:ilvl w:val="0"/>
                <w:numId w:val="1"/>
              </w:numPr>
              <w:rPr>
                <w:rFonts w:ascii="Arial" w:hAnsi="Arial" w:cs="Arial"/>
                <w:sz w:val="20"/>
                <w:szCs w:val="20"/>
              </w:rPr>
            </w:pPr>
            <w:r w:rsidRPr="002B1A63">
              <w:rPr>
                <w:rFonts w:ascii="Arial" w:hAnsi="Arial" w:cs="Arial"/>
                <w:sz w:val="20"/>
                <w:szCs w:val="20"/>
              </w:rPr>
              <w:t xml:space="preserve">86/88 had a successful initial TWOC, 1/88 required a </w:t>
            </w:r>
            <w:proofErr w:type="gramStart"/>
            <w:r w:rsidRPr="002B1A63">
              <w:rPr>
                <w:rFonts w:ascii="Arial" w:hAnsi="Arial" w:cs="Arial"/>
                <w:sz w:val="20"/>
                <w:szCs w:val="20"/>
              </w:rPr>
              <w:t>long term</w:t>
            </w:r>
            <w:proofErr w:type="gramEnd"/>
            <w:r w:rsidRPr="002B1A63">
              <w:rPr>
                <w:rFonts w:ascii="Arial" w:hAnsi="Arial" w:cs="Arial"/>
                <w:sz w:val="20"/>
                <w:szCs w:val="20"/>
              </w:rPr>
              <w:t xml:space="preserve"> catheter, the other passed on second TWOC. </w:t>
            </w:r>
          </w:p>
          <w:p w:rsidR="00A35C2A" w:rsidRPr="002B1A63" w:rsidRDefault="00A35C2A" w:rsidP="00030F68">
            <w:pPr>
              <w:pStyle w:val="ListParagraph"/>
              <w:framePr w:hSpace="180" w:wrap="around" w:vAnchor="text" w:hAnchor="margin" w:y="35"/>
              <w:numPr>
                <w:ilvl w:val="0"/>
                <w:numId w:val="1"/>
              </w:numPr>
              <w:rPr>
                <w:rFonts w:ascii="Arial" w:hAnsi="Arial" w:cs="Arial"/>
                <w:sz w:val="20"/>
                <w:szCs w:val="20"/>
              </w:rPr>
            </w:pPr>
            <w:proofErr w:type="gramStart"/>
            <w:r w:rsidRPr="002B1A63">
              <w:rPr>
                <w:rFonts w:ascii="Arial" w:hAnsi="Arial" w:cs="Arial"/>
                <w:sz w:val="20"/>
                <w:szCs w:val="20"/>
              </w:rPr>
              <w:t>71/88</w:t>
            </w:r>
            <w:proofErr w:type="gramEnd"/>
            <w:r w:rsidRPr="002B1A63">
              <w:rPr>
                <w:rFonts w:ascii="Arial" w:hAnsi="Arial" w:cs="Arial"/>
                <w:sz w:val="20"/>
                <w:szCs w:val="20"/>
              </w:rPr>
              <w:t xml:space="preserve"> patient have had their follow up. </w:t>
            </w:r>
            <w:proofErr w:type="gramStart"/>
            <w:r w:rsidRPr="002B1A63">
              <w:rPr>
                <w:rFonts w:ascii="Arial" w:hAnsi="Arial" w:cs="Arial"/>
                <w:sz w:val="20"/>
                <w:szCs w:val="20"/>
              </w:rPr>
              <w:t>80%</w:t>
            </w:r>
            <w:proofErr w:type="gramEnd"/>
            <w:r w:rsidRPr="002B1A63">
              <w:rPr>
                <w:rFonts w:ascii="Arial" w:hAnsi="Arial" w:cs="Arial"/>
                <w:sz w:val="20"/>
                <w:szCs w:val="20"/>
              </w:rPr>
              <w:t xml:space="preserve"> have reported complete symptomatic benefit. The reasons for not reporting benefit were:</w:t>
            </w:r>
          </w:p>
          <w:tbl>
            <w:tblPr>
              <w:tblW w:w="2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8"/>
              <w:gridCol w:w="709"/>
            </w:tblGrid>
            <w:tr w:rsidR="00A35C2A" w:rsidRPr="002B1A63" w:rsidTr="00030F68">
              <w:trPr>
                <w:trHeight w:val="300"/>
              </w:trPr>
              <w:tc>
                <w:tcPr>
                  <w:tcW w:w="2248" w:type="dxa"/>
                  <w:shd w:val="clear" w:color="auto" w:fill="auto"/>
                  <w:noWrap/>
                  <w:vAlign w:val="bottom"/>
                  <w:hideMark/>
                </w:tcPr>
                <w:p w:rsidR="00A35C2A" w:rsidRPr="002B1A63" w:rsidRDefault="00A35C2A" w:rsidP="00030F68">
                  <w:pPr>
                    <w:spacing w:after="0" w:line="240" w:lineRule="auto"/>
                    <w:rPr>
                      <w:rFonts w:ascii="Arial" w:eastAsia="Times New Roman" w:hAnsi="Arial" w:cs="Arial"/>
                      <w:color w:val="000000"/>
                      <w:sz w:val="20"/>
                      <w:szCs w:val="20"/>
                      <w:lang w:eastAsia="en-GB"/>
                    </w:rPr>
                  </w:pPr>
                  <w:r w:rsidRPr="002B1A63">
                    <w:rPr>
                      <w:rFonts w:ascii="Arial" w:eastAsia="Times New Roman" w:hAnsi="Arial" w:cs="Arial"/>
                      <w:color w:val="000000"/>
                      <w:sz w:val="20"/>
                      <w:szCs w:val="20"/>
                      <w:lang w:eastAsia="en-GB"/>
                    </w:rPr>
                    <w:t>Ongoing LUTS *</w:t>
                  </w:r>
                </w:p>
              </w:tc>
              <w:tc>
                <w:tcPr>
                  <w:tcW w:w="709" w:type="dxa"/>
                  <w:shd w:val="clear" w:color="auto" w:fill="auto"/>
                  <w:noWrap/>
                  <w:vAlign w:val="bottom"/>
                  <w:hideMark/>
                </w:tcPr>
                <w:p w:rsidR="00A35C2A" w:rsidRPr="002B1A63" w:rsidRDefault="00A35C2A" w:rsidP="00030F68">
                  <w:pPr>
                    <w:spacing w:after="0" w:line="240" w:lineRule="auto"/>
                    <w:jc w:val="right"/>
                    <w:rPr>
                      <w:rFonts w:ascii="Arial" w:eastAsia="Times New Roman" w:hAnsi="Arial" w:cs="Arial"/>
                      <w:color w:val="000000"/>
                      <w:sz w:val="20"/>
                      <w:szCs w:val="20"/>
                      <w:lang w:eastAsia="en-GB"/>
                    </w:rPr>
                  </w:pPr>
                  <w:r w:rsidRPr="002B1A63">
                    <w:rPr>
                      <w:rFonts w:ascii="Arial" w:eastAsia="Times New Roman" w:hAnsi="Arial" w:cs="Arial"/>
                      <w:color w:val="000000"/>
                      <w:sz w:val="20"/>
                      <w:szCs w:val="20"/>
                      <w:lang w:eastAsia="en-GB"/>
                    </w:rPr>
                    <w:t>9</w:t>
                  </w:r>
                </w:p>
              </w:tc>
            </w:tr>
            <w:tr w:rsidR="00A35C2A" w:rsidRPr="002B1A63" w:rsidTr="00030F68">
              <w:trPr>
                <w:trHeight w:val="300"/>
              </w:trPr>
              <w:tc>
                <w:tcPr>
                  <w:tcW w:w="2248" w:type="dxa"/>
                  <w:shd w:val="clear" w:color="auto" w:fill="auto"/>
                  <w:noWrap/>
                  <w:vAlign w:val="bottom"/>
                  <w:hideMark/>
                </w:tcPr>
                <w:p w:rsidR="00A35C2A" w:rsidRPr="002B1A63" w:rsidRDefault="00A35C2A" w:rsidP="00030F68">
                  <w:pPr>
                    <w:spacing w:after="0" w:line="240" w:lineRule="auto"/>
                    <w:rPr>
                      <w:rFonts w:ascii="Arial" w:eastAsia="Times New Roman" w:hAnsi="Arial" w:cs="Arial"/>
                      <w:color w:val="000000"/>
                      <w:sz w:val="20"/>
                      <w:szCs w:val="20"/>
                      <w:lang w:eastAsia="en-GB"/>
                    </w:rPr>
                  </w:pPr>
                  <w:r w:rsidRPr="002B1A63">
                    <w:rPr>
                      <w:rFonts w:ascii="Arial" w:eastAsia="Times New Roman" w:hAnsi="Arial" w:cs="Arial"/>
                      <w:color w:val="000000"/>
                      <w:sz w:val="20"/>
                      <w:szCs w:val="20"/>
                      <w:lang w:eastAsia="en-GB"/>
                    </w:rPr>
                    <w:t xml:space="preserve">incontinence </w:t>
                  </w:r>
                </w:p>
              </w:tc>
              <w:tc>
                <w:tcPr>
                  <w:tcW w:w="709" w:type="dxa"/>
                  <w:shd w:val="clear" w:color="auto" w:fill="auto"/>
                  <w:noWrap/>
                  <w:vAlign w:val="bottom"/>
                  <w:hideMark/>
                </w:tcPr>
                <w:p w:rsidR="00A35C2A" w:rsidRPr="002B1A63" w:rsidRDefault="00A35C2A" w:rsidP="00030F68">
                  <w:pPr>
                    <w:spacing w:after="0" w:line="240" w:lineRule="auto"/>
                    <w:jc w:val="right"/>
                    <w:rPr>
                      <w:rFonts w:ascii="Arial" w:eastAsia="Times New Roman" w:hAnsi="Arial" w:cs="Arial"/>
                      <w:color w:val="000000"/>
                      <w:sz w:val="20"/>
                      <w:szCs w:val="20"/>
                      <w:lang w:eastAsia="en-GB"/>
                    </w:rPr>
                  </w:pPr>
                  <w:r w:rsidRPr="002B1A63">
                    <w:rPr>
                      <w:rFonts w:ascii="Arial" w:eastAsia="Times New Roman" w:hAnsi="Arial" w:cs="Arial"/>
                      <w:color w:val="000000"/>
                      <w:sz w:val="20"/>
                      <w:szCs w:val="20"/>
                      <w:lang w:eastAsia="en-GB"/>
                    </w:rPr>
                    <w:t>4</w:t>
                  </w:r>
                </w:p>
              </w:tc>
            </w:tr>
            <w:tr w:rsidR="00A35C2A" w:rsidRPr="002B1A63" w:rsidTr="00030F68">
              <w:trPr>
                <w:trHeight w:val="300"/>
              </w:trPr>
              <w:tc>
                <w:tcPr>
                  <w:tcW w:w="2248" w:type="dxa"/>
                  <w:shd w:val="clear" w:color="auto" w:fill="auto"/>
                  <w:noWrap/>
                  <w:vAlign w:val="bottom"/>
                  <w:hideMark/>
                </w:tcPr>
                <w:p w:rsidR="00A35C2A" w:rsidRPr="002B1A63" w:rsidRDefault="00A35C2A" w:rsidP="00030F68">
                  <w:pPr>
                    <w:spacing w:after="0" w:line="240" w:lineRule="auto"/>
                    <w:rPr>
                      <w:rFonts w:ascii="Arial" w:eastAsia="Times New Roman" w:hAnsi="Arial" w:cs="Arial"/>
                      <w:color w:val="000000"/>
                      <w:sz w:val="20"/>
                      <w:szCs w:val="20"/>
                      <w:lang w:eastAsia="en-GB"/>
                    </w:rPr>
                  </w:pPr>
                  <w:r w:rsidRPr="002B1A63">
                    <w:rPr>
                      <w:rFonts w:ascii="Arial" w:eastAsia="Times New Roman" w:hAnsi="Arial" w:cs="Arial"/>
                      <w:color w:val="000000"/>
                      <w:sz w:val="20"/>
                      <w:szCs w:val="20"/>
                      <w:lang w:eastAsia="en-GB"/>
                    </w:rPr>
                    <w:t>LTC</w:t>
                  </w:r>
                </w:p>
              </w:tc>
              <w:tc>
                <w:tcPr>
                  <w:tcW w:w="709" w:type="dxa"/>
                  <w:shd w:val="clear" w:color="auto" w:fill="auto"/>
                  <w:noWrap/>
                  <w:vAlign w:val="bottom"/>
                  <w:hideMark/>
                </w:tcPr>
                <w:p w:rsidR="00A35C2A" w:rsidRPr="002B1A63" w:rsidRDefault="00A35C2A" w:rsidP="00030F68">
                  <w:pPr>
                    <w:spacing w:after="0" w:line="240" w:lineRule="auto"/>
                    <w:jc w:val="right"/>
                    <w:rPr>
                      <w:rFonts w:ascii="Arial" w:eastAsia="Times New Roman" w:hAnsi="Arial" w:cs="Arial"/>
                      <w:color w:val="000000"/>
                      <w:sz w:val="20"/>
                      <w:szCs w:val="20"/>
                      <w:lang w:eastAsia="en-GB"/>
                    </w:rPr>
                  </w:pPr>
                  <w:r w:rsidRPr="002B1A63">
                    <w:rPr>
                      <w:rFonts w:ascii="Arial" w:eastAsia="Times New Roman" w:hAnsi="Arial" w:cs="Arial"/>
                      <w:color w:val="000000"/>
                      <w:sz w:val="20"/>
                      <w:szCs w:val="20"/>
                      <w:lang w:eastAsia="en-GB"/>
                    </w:rPr>
                    <w:t>1</w:t>
                  </w:r>
                </w:p>
              </w:tc>
            </w:tr>
          </w:tbl>
          <w:p w:rsidR="00A35C2A" w:rsidRPr="002B1A63" w:rsidRDefault="00A35C2A" w:rsidP="00030F68">
            <w:pPr>
              <w:pStyle w:val="ListParagraph"/>
              <w:framePr w:hSpace="180" w:wrap="around" w:vAnchor="text" w:hAnchor="margin" w:y="35"/>
              <w:rPr>
                <w:rFonts w:ascii="Arial" w:hAnsi="Arial" w:cs="Arial"/>
                <w:sz w:val="20"/>
                <w:szCs w:val="20"/>
              </w:rPr>
            </w:pPr>
          </w:p>
          <w:p w:rsidR="00A35C2A" w:rsidRPr="002B1A63" w:rsidRDefault="00A35C2A" w:rsidP="00030F68">
            <w:pPr>
              <w:framePr w:hSpace="180" w:wrap="around" w:vAnchor="text" w:hAnchor="margin" w:y="35"/>
              <w:spacing w:after="0" w:line="240" w:lineRule="auto"/>
              <w:rPr>
                <w:rFonts w:ascii="Arial" w:hAnsi="Arial" w:cs="Arial"/>
                <w:sz w:val="20"/>
                <w:szCs w:val="20"/>
              </w:rPr>
            </w:pPr>
            <w:r w:rsidRPr="002B1A63">
              <w:rPr>
                <w:rFonts w:ascii="Arial" w:hAnsi="Arial" w:cs="Arial"/>
                <w:sz w:val="20"/>
                <w:szCs w:val="20"/>
              </w:rPr>
              <w:t>*1 patient had residual tissue on investigative cystoscopy, awaiting further input.</w:t>
            </w:r>
          </w:p>
          <w:p w:rsidR="00A35C2A" w:rsidRPr="002B1A63" w:rsidRDefault="00A35C2A" w:rsidP="00030F68">
            <w:pPr>
              <w:pStyle w:val="ListParagraph"/>
              <w:rPr>
                <w:rFonts w:ascii="Arial" w:hAnsi="Arial" w:cs="Arial"/>
                <w:sz w:val="20"/>
              </w:rPr>
            </w:pPr>
          </w:p>
          <w:p w:rsidR="00A35C2A" w:rsidRPr="002B1A63" w:rsidRDefault="00A35C2A" w:rsidP="00030F68">
            <w:pPr>
              <w:pStyle w:val="ListParagraph"/>
              <w:numPr>
                <w:ilvl w:val="0"/>
                <w:numId w:val="2"/>
              </w:numPr>
              <w:rPr>
                <w:rFonts w:ascii="Arial" w:hAnsi="Arial" w:cs="Arial"/>
                <w:sz w:val="20"/>
              </w:rPr>
            </w:pPr>
            <w:r w:rsidRPr="002B1A63">
              <w:rPr>
                <w:rFonts w:ascii="Arial" w:hAnsi="Arial" w:cs="Arial"/>
                <w:sz w:val="20"/>
              </w:rPr>
              <w:t xml:space="preserve">GLPVP (n=88) mean wait = 154days (range 19-461 days). Some </w:t>
            </w:r>
            <w:proofErr w:type="gramStart"/>
            <w:r w:rsidRPr="002B1A63">
              <w:rPr>
                <w:rFonts w:ascii="Arial" w:hAnsi="Arial" w:cs="Arial"/>
                <w:sz w:val="20"/>
              </w:rPr>
              <w:t>were converted</w:t>
            </w:r>
            <w:proofErr w:type="gramEnd"/>
            <w:r w:rsidRPr="002B1A63">
              <w:rPr>
                <w:rFonts w:ascii="Arial" w:hAnsi="Arial" w:cs="Arial"/>
                <w:sz w:val="20"/>
              </w:rPr>
              <w:t xml:space="preserve"> from TURP/</w:t>
            </w:r>
            <w:proofErr w:type="spellStart"/>
            <w:r w:rsidRPr="002B1A63">
              <w:rPr>
                <w:rFonts w:ascii="Arial" w:hAnsi="Arial" w:cs="Arial"/>
                <w:sz w:val="20"/>
              </w:rPr>
              <w:t>HoLEP</w:t>
            </w:r>
            <w:proofErr w:type="spellEnd"/>
            <w:r w:rsidRPr="002B1A63">
              <w:rPr>
                <w:rFonts w:ascii="Arial" w:hAnsi="Arial" w:cs="Arial"/>
                <w:sz w:val="20"/>
              </w:rPr>
              <w:t xml:space="preserve">. </w:t>
            </w:r>
          </w:p>
          <w:p w:rsidR="00A35C2A" w:rsidRPr="002B1A63" w:rsidRDefault="00A35C2A" w:rsidP="00030F68">
            <w:pPr>
              <w:pStyle w:val="ListParagraph"/>
              <w:rPr>
                <w:rFonts w:ascii="Arial" w:hAnsi="Arial" w:cs="Arial"/>
                <w:sz w:val="20"/>
              </w:rPr>
            </w:pPr>
            <w:r w:rsidRPr="002B1A63">
              <w:rPr>
                <w:rFonts w:ascii="Arial" w:hAnsi="Arial" w:cs="Arial"/>
                <w:sz w:val="20"/>
              </w:rPr>
              <w:t xml:space="preserve">Patients who had TURP (n=86) mean wait = 257days (41-825 days) </w:t>
            </w:r>
          </w:p>
          <w:p w:rsidR="00A35C2A" w:rsidRPr="002B1A63" w:rsidRDefault="00A35C2A" w:rsidP="00030F68">
            <w:pPr>
              <w:spacing w:after="0" w:line="240" w:lineRule="auto"/>
              <w:rPr>
                <w:rFonts w:ascii="Arial" w:hAnsi="Arial" w:cs="Arial"/>
                <w:sz w:val="20"/>
              </w:rPr>
            </w:pPr>
            <w:r w:rsidRPr="002B1A63">
              <w:rPr>
                <w:rFonts w:ascii="Arial" w:hAnsi="Arial" w:cs="Arial"/>
                <w:sz w:val="20"/>
              </w:rPr>
              <w:t xml:space="preserve">              LOS: 98% same day discharge. 2% LOS= 2 days. </w:t>
            </w:r>
          </w:p>
          <w:p w:rsidR="00A35C2A" w:rsidRPr="002B1A63" w:rsidRDefault="00A35C2A" w:rsidP="00030F68">
            <w:pPr>
              <w:pStyle w:val="ListParagraph"/>
              <w:numPr>
                <w:ilvl w:val="0"/>
                <w:numId w:val="2"/>
              </w:numPr>
              <w:rPr>
                <w:rFonts w:ascii="Arial" w:hAnsi="Arial" w:cs="Arial"/>
                <w:sz w:val="20"/>
              </w:rPr>
            </w:pPr>
            <w:r w:rsidRPr="002B1A63">
              <w:rPr>
                <w:rFonts w:ascii="Arial" w:hAnsi="Arial" w:cs="Arial"/>
                <w:sz w:val="20"/>
              </w:rPr>
              <w:t xml:space="preserve">Complications:  8% had UTI, 3% had haematuria, 3% urethral stricture, 1% required further procedure, 1% had </w:t>
            </w:r>
            <w:proofErr w:type="spellStart"/>
            <w:r w:rsidRPr="002B1A63">
              <w:rPr>
                <w:rFonts w:ascii="Arial" w:hAnsi="Arial" w:cs="Arial"/>
                <w:sz w:val="20"/>
              </w:rPr>
              <w:t>osteitis</w:t>
            </w:r>
            <w:proofErr w:type="spellEnd"/>
            <w:r w:rsidRPr="002B1A63">
              <w:rPr>
                <w:rFonts w:ascii="Arial" w:hAnsi="Arial" w:cs="Arial"/>
                <w:sz w:val="20"/>
              </w:rPr>
              <w:t xml:space="preserve"> pubis, </w:t>
            </w:r>
            <w:proofErr w:type="gramStart"/>
            <w:r w:rsidRPr="002B1A63">
              <w:rPr>
                <w:rFonts w:ascii="Arial" w:hAnsi="Arial" w:cs="Arial"/>
                <w:sz w:val="20"/>
              </w:rPr>
              <w:t>4.5</w:t>
            </w:r>
            <w:proofErr w:type="gramEnd"/>
            <w:r w:rsidRPr="002B1A63">
              <w:rPr>
                <w:rFonts w:ascii="Arial" w:hAnsi="Arial" w:cs="Arial"/>
                <w:sz w:val="20"/>
              </w:rPr>
              <w:t xml:space="preserve">% had UTI requiring IV antibiotics. </w:t>
            </w:r>
          </w:p>
          <w:p w:rsidR="00A35C2A" w:rsidRPr="002B1A63" w:rsidRDefault="00A35C2A" w:rsidP="00030F68">
            <w:pPr>
              <w:pStyle w:val="ListParagraph"/>
              <w:numPr>
                <w:ilvl w:val="0"/>
                <w:numId w:val="2"/>
              </w:numPr>
              <w:rPr>
                <w:rFonts w:ascii="Arial" w:hAnsi="Arial" w:cs="Arial"/>
                <w:sz w:val="20"/>
              </w:rPr>
            </w:pPr>
            <w:r w:rsidRPr="002B1A63">
              <w:rPr>
                <w:rFonts w:ascii="Arial" w:hAnsi="Arial" w:cs="Arial"/>
                <w:sz w:val="20"/>
              </w:rPr>
              <w:t xml:space="preserve">97% had a successful initial TWOC, 1/88 required a </w:t>
            </w:r>
            <w:proofErr w:type="gramStart"/>
            <w:r w:rsidRPr="002B1A63">
              <w:rPr>
                <w:rFonts w:ascii="Arial" w:hAnsi="Arial" w:cs="Arial"/>
                <w:sz w:val="20"/>
              </w:rPr>
              <w:t>long term</w:t>
            </w:r>
            <w:proofErr w:type="gramEnd"/>
            <w:r w:rsidRPr="002B1A63">
              <w:rPr>
                <w:rFonts w:ascii="Arial" w:hAnsi="Arial" w:cs="Arial"/>
                <w:sz w:val="20"/>
              </w:rPr>
              <w:t xml:space="preserve"> catheter, the other passed on second TWOC. </w:t>
            </w:r>
          </w:p>
          <w:p w:rsidR="00A35C2A" w:rsidRPr="002B1A63" w:rsidRDefault="00A35C2A" w:rsidP="00030F68">
            <w:pPr>
              <w:pStyle w:val="ListParagraph"/>
              <w:numPr>
                <w:ilvl w:val="0"/>
                <w:numId w:val="2"/>
              </w:numPr>
              <w:rPr>
                <w:rFonts w:ascii="Arial" w:hAnsi="Arial" w:cs="Arial"/>
                <w:sz w:val="20"/>
                <w:szCs w:val="22"/>
              </w:rPr>
            </w:pPr>
            <w:proofErr w:type="gramStart"/>
            <w:r w:rsidRPr="002B1A63">
              <w:rPr>
                <w:rFonts w:ascii="Arial" w:hAnsi="Arial" w:cs="Arial"/>
                <w:sz w:val="20"/>
              </w:rPr>
              <w:t>71/88</w:t>
            </w:r>
            <w:proofErr w:type="gramEnd"/>
            <w:r w:rsidRPr="002B1A63">
              <w:rPr>
                <w:rFonts w:ascii="Arial" w:hAnsi="Arial" w:cs="Arial"/>
                <w:sz w:val="20"/>
              </w:rPr>
              <w:t xml:space="preserve"> patients have had their follow up. </w:t>
            </w:r>
            <w:proofErr w:type="gramStart"/>
            <w:r w:rsidRPr="002B1A63">
              <w:rPr>
                <w:rFonts w:ascii="Arial" w:hAnsi="Arial" w:cs="Arial"/>
                <w:sz w:val="20"/>
              </w:rPr>
              <w:t>80%</w:t>
            </w:r>
            <w:proofErr w:type="gramEnd"/>
            <w:r w:rsidRPr="002B1A63">
              <w:rPr>
                <w:rFonts w:ascii="Arial" w:hAnsi="Arial" w:cs="Arial"/>
                <w:sz w:val="20"/>
              </w:rPr>
              <w:t xml:space="preserve"> have reported complete symptomatic benefit. Cause for incomplete resolution: </w:t>
            </w:r>
            <w:proofErr w:type="gramStart"/>
            <w:r w:rsidRPr="002B1A63">
              <w:rPr>
                <w:rFonts w:ascii="Arial" w:hAnsi="Arial" w:cs="Arial"/>
                <w:sz w:val="20"/>
              </w:rPr>
              <w:t>9</w:t>
            </w:r>
            <w:proofErr w:type="gramEnd"/>
            <w:r w:rsidRPr="002B1A63">
              <w:rPr>
                <w:rFonts w:ascii="Arial" w:hAnsi="Arial" w:cs="Arial"/>
                <w:sz w:val="20"/>
              </w:rPr>
              <w:t xml:space="preserve"> = ongoing LUTS, 4 = dribble incontinence, 1 = LTC. </w:t>
            </w:r>
          </w:p>
          <w:p w:rsidR="00A35C2A" w:rsidRPr="002B1A63" w:rsidRDefault="00A35C2A" w:rsidP="00030F68">
            <w:pPr>
              <w:spacing w:after="0" w:line="240" w:lineRule="auto"/>
              <w:rPr>
                <w:rFonts w:ascii="Arial" w:hAnsi="Arial" w:cs="Arial"/>
                <w:sz w:val="20"/>
                <w:szCs w:val="20"/>
              </w:rPr>
            </w:pPr>
          </w:p>
        </w:tc>
      </w:tr>
      <w:tr w:rsidR="00A35C2A" w:rsidTr="00A35C2A">
        <w:trPr>
          <w:trHeight w:val="1277"/>
        </w:trPr>
        <w:tc>
          <w:tcPr>
            <w:tcW w:w="9214" w:type="dxa"/>
            <w:gridSpan w:val="2"/>
            <w:tcBorders>
              <w:top w:val="single" w:sz="4" w:space="0" w:color="auto"/>
              <w:left w:val="single" w:sz="4" w:space="0" w:color="auto"/>
              <w:bottom w:val="single" w:sz="4" w:space="0" w:color="auto"/>
              <w:right w:val="single" w:sz="4" w:space="0" w:color="auto"/>
            </w:tcBorders>
            <w:shd w:val="clear" w:color="auto" w:fill="D9D9D9"/>
          </w:tcPr>
          <w:p w:rsidR="00A35C2A" w:rsidRDefault="00A35C2A" w:rsidP="00030F68">
            <w:pPr>
              <w:spacing w:after="0" w:line="240" w:lineRule="auto"/>
            </w:pPr>
            <w:r>
              <w:rPr>
                <w:b/>
              </w:rPr>
              <w:t>Conclusion</w:t>
            </w:r>
            <w:r>
              <w:t>:</w:t>
            </w:r>
          </w:p>
          <w:p w:rsidR="00A35C2A" w:rsidRPr="00A35C2A" w:rsidRDefault="00A35C2A" w:rsidP="00030F68">
            <w:pPr>
              <w:spacing w:after="0" w:line="240" w:lineRule="auto"/>
              <w:rPr>
                <w:rFonts w:ascii="Arial" w:hAnsi="Arial" w:cs="Arial"/>
                <w:sz w:val="20"/>
              </w:rPr>
            </w:pPr>
            <w:r w:rsidRPr="002B1A63">
              <w:rPr>
                <w:rFonts w:ascii="Arial" w:hAnsi="Arial" w:cs="Arial"/>
                <w:sz w:val="20"/>
              </w:rPr>
              <w:t>GLPVP is a safe, effective method of treatment for BPE that can treat larger prostates and convert patients previously booked for TURP. GLPVP has improved overall waiting time for bladder outlet surgery at the Freeman hospital with excellent symptomatic benefit.</w:t>
            </w:r>
          </w:p>
          <w:p w:rsidR="00A35C2A" w:rsidRDefault="00A35C2A" w:rsidP="00030F68">
            <w:pPr>
              <w:spacing w:after="0" w:line="240" w:lineRule="auto"/>
              <w:rPr>
                <w:rFonts w:cs="Times New Roman"/>
              </w:rPr>
            </w:pPr>
          </w:p>
        </w:tc>
      </w:tr>
    </w:tbl>
    <w:p w:rsidR="00D33466" w:rsidRDefault="00D33466" w:rsidP="00D33466"/>
    <w:p w:rsidR="00A35C2A" w:rsidRDefault="00A35C2A" w:rsidP="00D33466"/>
    <w:p w:rsidR="00A35C2A" w:rsidRDefault="00A35C2A" w:rsidP="00D33466"/>
    <w:p w:rsidR="00A35C2A" w:rsidRDefault="00A35C2A" w:rsidP="00D33466"/>
    <w:p w:rsidR="00A35C2A" w:rsidRDefault="00A35C2A" w:rsidP="00D33466"/>
    <w:p w:rsidR="00A35C2A" w:rsidRDefault="00A35C2A" w:rsidP="00D33466"/>
    <w:p w:rsidR="00A35C2A" w:rsidRDefault="00A35C2A" w:rsidP="00D33466"/>
    <w:p w:rsidR="00A35C2A" w:rsidRDefault="00A35C2A" w:rsidP="00D33466"/>
    <w:p w:rsidR="00A35C2A" w:rsidRDefault="00A35C2A" w:rsidP="00D33466"/>
    <w:p w:rsidR="00A35C2A" w:rsidRDefault="00A35C2A" w:rsidP="00D33466"/>
    <w:p w:rsidR="00A35C2A" w:rsidRDefault="00A35C2A" w:rsidP="00D33466"/>
    <w:p w:rsidR="00A35C2A" w:rsidRDefault="00A35C2A" w:rsidP="00D33466"/>
    <w:p w:rsidR="00A35C2A" w:rsidRDefault="00A35C2A" w:rsidP="00D33466"/>
    <w:p w:rsidR="00A35C2A" w:rsidRDefault="00A35C2A" w:rsidP="00D33466"/>
    <w:p w:rsidR="00A35C2A" w:rsidRDefault="00A35C2A" w:rsidP="00D33466"/>
    <w:p w:rsidR="00A35C2A" w:rsidRDefault="00A35C2A" w:rsidP="00D33466"/>
    <w:p w:rsidR="00A35C2A" w:rsidRDefault="00A35C2A" w:rsidP="00D33466"/>
    <w:p w:rsidR="00A35C2A" w:rsidRDefault="00A35C2A" w:rsidP="00D33466"/>
    <w:p w:rsidR="00A35C2A" w:rsidRDefault="00A35C2A" w:rsidP="00D33466"/>
    <w:p w:rsidR="00A35C2A" w:rsidRDefault="00A35C2A" w:rsidP="00D33466"/>
    <w:p w:rsidR="00A35C2A" w:rsidRPr="00D33466" w:rsidRDefault="00A35C2A" w:rsidP="00D33466"/>
    <w:p w:rsidR="00D33466" w:rsidRPr="00D33466" w:rsidRDefault="00D33466" w:rsidP="00D334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9"/>
        <w:gridCol w:w="3527"/>
      </w:tblGrid>
      <w:tr w:rsidR="00D33466" w:rsidTr="00EC2E3B">
        <w:tc>
          <w:tcPr>
            <w:tcW w:w="5489" w:type="dxa"/>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pPr>
            <w:r>
              <w:rPr>
                <w:b/>
              </w:rPr>
              <w:t>Name of Presenter</w:t>
            </w:r>
            <w:r>
              <w:t>:</w:t>
            </w:r>
          </w:p>
          <w:p w:rsidR="00D33466" w:rsidRDefault="00D33466" w:rsidP="00D33466">
            <w:pPr>
              <w:spacing w:after="0" w:line="240" w:lineRule="auto"/>
              <w:rPr>
                <w:rFonts w:cs="Times New Roman"/>
              </w:rPr>
            </w:pPr>
            <w:r>
              <w:rPr>
                <w:rFonts w:cs="Times New Roman"/>
              </w:rPr>
              <w:t>Dayan Jacob</w:t>
            </w:r>
          </w:p>
        </w:tc>
        <w:tc>
          <w:tcPr>
            <w:tcW w:w="3527" w:type="dxa"/>
            <w:tcBorders>
              <w:top w:val="single" w:sz="4" w:space="0" w:color="auto"/>
              <w:left w:val="single" w:sz="4" w:space="0" w:color="auto"/>
              <w:bottom w:val="single" w:sz="4" w:space="0" w:color="auto"/>
              <w:right w:val="single" w:sz="4" w:space="0" w:color="auto"/>
            </w:tcBorders>
            <w:hideMark/>
          </w:tcPr>
          <w:p w:rsidR="00D33466" w:rsidRDefault="00D33466" w:rsidP="00D33466">
            <w:pPr>
              <w:spacing w:after="0" w:line="240" w:lineRule="auto"/>
            </w:pPr>
            <w:r>
              <w:rPr>
                <w:b/>
              </w:rPr>
              <w:t>Training grade/post</w:t>
            </w:r>
            <w:r>
              <w:t>:</w:t>
            </w:r>
          </w:p>
          <w:p w:rsidR="00D33466" w:rsidRDefault="00D33466" w:rsidP="00D33466">
            <w:pPr>
              <w:spacing w:after="0" w:line="240" w:lineRule="auto"/>
              <w:rPr>
                <w:rFonts w:cs="Times New Roman"/>
              </w:rPr>
            </w:pPr>
            <w:r>
              <w:t>Urology Teaching Fellow</w:t>
            </w:r>
          </w:p>
        </w:tc>
      </w:tr>
      <w:tr w:rsidR="00D33466" w:rsidTr="00EC2E3B">
        <w:tc>
          <w:tcPr>
            <w:tcW w:w="9016" w:type="dxa"/>
            <w:gridSpan w:val="2"/>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pPr>
            <w:r>
              <w:rPr>
                <w:b/>
              </w:rPr>
              <w:t>Institution</w:t>
            </w:r>
            <w:r>
              <w:t>:</w:t>
            </w:r>
          </w:p>
          <w:p w:rsidR="00D33466" w:rsidRDefault="00D33466" w:rsidP="00D33466">
            <w:pPr>
              <w:spacing w:after="0" w:line="240" w:lineRule="auto"/>
              <w:rPr>
                <w:rFonts w:cs="Times New Roman"/>
              </w:rPr>
            </w:pPr>
            <w:r>
              <w:rPr>
                <w:rFonts w:cs="Times New Roman"/>
              </w:rPr>
              <w:t>James Cook University Hospital, South Tees Hospitals NHS Foundation Trust</w:t>
            </w:r>
          </w:p>
        </w:tc>
      </w:tr>
      <w:tr w:rsidR="00D33466" w:rsidTr="00EC2E3B">
        <w:tc>
          <w:tcPr>
            <w:tcW w:w="9016" w:type="dxa"/>
            <w:gridSpan w:val="2"/>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pPr>
            <w:r>
              <w:rPr>
                <w:b/>
              </w:rPr>
              <w:t>Title of Presentation</w:t>
            </w:r>
            <w:r>
              <w:t>:</w:t>
            </w:r>
          </w:p>
          <w:p w:rsidR="00D33466" w:rsidRPr="004004A5" w:rsidRDefault="00D33466" w:rsidP="00D33466">
            <w:pPr>
              <w:spacing w:after="0" w:line="240" w:lineRule="auto"/>
              <w:rPr>
                <w:b/>
                <w:i/>
              </w:rPr>
            </w:pPr>
            <w:r w:rsidRPr="004004A5">
              <w:rPr>
                <w:b/>
                <w:i/>
              </w:rPr>
              <w:t xml:space="preserve">REZUM </w:t>
            </w:r>
            <w:r>
              <w:rPr>
                <w:b/>
                <w:i/>
              </w:rPr>
              <w:t xml:space="preserve">water vapour </w:t>
            </w:r>
            <w:r w:rsidRPr="004004A5">
              <w:rPr>
                <w:b/>
                <w:i/>
              </w:rPr>
              <w:t>therapy for Benign Prostatic Hyperplasia:</w:t>
            </w:r>
            <w:r>
              <w:rPr>
                <w:b/>
                <w:i/>
              </w:rPr>
              <w:t xml:space="preserve"> A</w:t>
            </w:r>
            <w:r w:rsidRPr="004004A5">
              <w:rPr>
                <w:b/>
                <w:i/>
              </w:rPr>
              <w:t xml:space="preserve"> </w:t>
            </w:r>
            <w:r>
              <w:rPr>
                <w:b/>
                <w:i/>
              </w:rPr>
              <w:t>Single-Centre Experience</w:t>
            </w:r>
          </w:p>
          <w:p w:rsidR="00D33466" w:rsidRDefault="00D33466" w:rsidP="00D33466">
            <w:pPr>
              <w:spacing w:after="0" w:line="240" w:lineRule="auto"/>
              <w:rPr>
                <w:rFonts w:cs="Times New Roman"/>
              </w:rPr>
            </w:pPr>
          </w:p>
        </w:tc>
      </w:tr>
      <w:tr w:rsidR="00D33466" w:rsidTr="00EC2E3B">
        <w:tc>
          <w:tcPr>
            <w:tcW w:w="9016" w:type="dxa"/>
            <w:gridSpan w:val="2"/>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pPr>
            <w:r>
              <w:rPr>
                <w:b/>
              </w:rPr>
              <w:t>Authors</w:t>
            </w:r>
            <w:r>
              <w:t>:</w:t>
            </w:r>
          </w:p>
          <w:p w:rsidR="00D33466" w:rsidRDefault="00D33466" w:rsidP="00D33466">
            <w:pPr>
              <w:spacing w:after="0" w:line="240" w:lineRule="auto"/>
            </w:pPr>
            <w:r>
              <w:t xml:space="preserve">Pragnitha </w:t>
            </w:r>
            <w:proofErr w:type="spellStart"/>
            <w:r>
              <w:t>Chitteti</w:t>
            </w:r>
            <w:proofErr w:type="spellEnd"/>
            <w:r>
              <w:t xml:space="preserve">, Yehia </w:t>
            </w:r>
            <w:proofErr w:type="spellStart"/>
            <w:r>
              <w:t>Abdelmotagly</w:t>
            </w:r>
            <w:proofErr w:type="spellEnd"/>
            <w:r>
              <w:t xml:space="preserve">, </w:t>
            </w:r>
            <w:r>
              <w:rPr>
                <w:rFonts w:cs="Times New Roman"/>
              </w:rPr>
              <w:t xml:space="preserve">Dayan Jacob, </w:t>
            </w:r>
            <w:r>
              <w:t>Raj Gowda</w:t>
            </w:r>
          </w:p>
          <w:p w:rsidR="00D33466" w:rsidRDefault="00D33466" w:rsidP="00D33466">
            <w:pPr>
              <w:spacing w:after="0" w:line="240" w:lineRule="auto"/>
              <w:rPr>
                <w:rFonts w:cs="Times New Roman"/>
              </w:rPr>
            </w:pPr>
          </w:p>
        </w:tc>
      </w:tr>
      <w:tr w:rsidR="00D33466" w:rsidTr="00EC2E3B">
        <w:trPr>
          <w:trHeight w:val="1432"/>
        </w:trPr>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spacing w:after="0" w:line="240" w:lineRule="auto"/>
            </w:pPr>
            <w:r>
              <w:rPr>
                <w:b/>
              </w:rPr>
              <w:t>Aims</w:t>
            </w:r>
            <w:r>
              <w:t xml:space="preserve">: </w:t>
            </w:r>
          </w:p>
          <w:p w:rsidR="00D33466" w:rsidRDefault="00D33466" w:rsidP="00D33466">
            <w:pPr>
              <w:spacing w:after="0" w:line="240" w:lineRule="auto"/>
            </w:pPr>
            <w:r>
              <w:t>The provision of REZUM</w:t>
            </w:r>
            <w:r w:rsidRPr="004004A5">
              <w:t xml:space="preserve"> </w:t>
            </w:r>
            <w:r>
              <w:t xml:space="preserve">therapy </w:t>
            </w:r>
            <w:r w:rsidRPr="004004A5">
              <w:t>started in April 2021</w:t>
            </w:r>
            <w:r>
              <w:t xml:space="preserve"> in our Trust. It is currently being performed as a day case procedure through one short appointment. Through this study we aimed to assess treatment </w:t>
            </w:r>
            <w:r w:rsidRPr="004004A5">
              <w:t xml:space="preserve">outcomes </w:t>
            </w:r>
            <w:r>
              <w:t>among</w:t>
            </w:r>
            <w:r w:rsidRPr="004004A5">
              <w:t xml:space="preserve"> </w:t>
            </w:r>
            <w:r>
              <w:t xml:space="preserve">our </w:t>
            </w:r>
            <w:r w:rsidRPr="004004A5">
              <w:t>patients who underwent R</w:t>
            </w:r>
            <w:r>
              <w:t>EZUM procedure in the first 2 years of service initiation.</w:t>
            </w:r>
          </w:p>
          <w:p w:rsidR="00D33466" w:rsidRDefault="00D33466" w:rsidP="00D33466">
            <w:pPr>
              <w:spacing w:after="0" w:line="240" w:lineRule="auto"/>
              <w:rPr>
                <w:rFonts w:cs="Times New Roman"/>
              </w:rPr>
            </w:pPr>
          </w:p>
        </w:tc>
      </w:tr>
      <w:tr w:rsidR="00D33466" w:rsidTr="00EC2E3B">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Pr="004004A5" w:rsidRDefault="00D33466" w:rsidP="00D33466">
            <w:pPr>
              <w:spacing w:after="0" w:line="240" w:lineRule="auto"/>
            </w:pPr>
            <w:r>
              <w:rPr>
                <w:b/>
              </w:rPr>
              <w:t>Methods</w:t>
            </w:r>
            <w:r>
              <w:t xml:space="preserve">: A retrospective-cohort study was conducted to assess treatment </w:t>
            </w:r>
            <w:r w:rsidRPr="004004A5">
              <w:t xml:space="preserve">outcomes </w:t>
            </w:r>
            <w:r>
              <w:t>among</w:t>
            </w:r>
            <w:r w:rsidRPr="004004A5">
              <w:t xml:space="preserve"> patients who underwent R</w:t>
            </w:r>
            <w:r>
              <w:t xml:space="preserve">EZUM procedure from April 2021- </w:t>
            </w:r>
            <w:r w:rsidRPr="004004A5">
              <w:t>2023</w:t>
            </w:r>
            <w:r>
              <w:t xml:space="preserve"> with </w:t>
            </w:r>
            <w:proofErr w:type="spellStart"/>
            <w:r>
              <w:t>atleast</w:t>
            </w:r>
            <w:proofErr w:type="spellEnd"/>
            <w:r>
              <w:t xml:space="preserve"> 6-month post-procedure follow up data available. The data variables collected include patient age, prostate volume, number of injections given, pre-treatment and post treatment </w:t>
            </w:r>
            <w:r w:rsidRPr="00BC2EBA">
              <w:t>International Prostate Symptom Score (IPSS)</w:t>
            </w:r>
            <w:r>
              <w:t xml:space="preserve"> and Quality of Life (QoL) score.</w:t>
            </w:r>
          </w:p>
        </w:tc>
      </w:tr>
      <w:tr w:rsidR="00D33466" w:rsidTr="00EC2E3B">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Pr="00C22E11" w:rsidRDefault="00D33466" w:rsidP="00D33466">
            <w:pPr>
              <w:spacing w:after="0" w:line="240" w:lineRule="auto"/>
            </w:pPr>
            <w:r>
              <w:rPr>
                <w:b/>
              </w:rPr>
              <w:t>Results</w:t>
            </w:r>
            <w:r>
              <w:t xml:space="preserve">: 45 patients (Mean age 71.24, Range 57- 93 years) who underwent REZUM therapy were included.  Mean prostate volume was 51.8 cc (Range 20-98 cc). The mean number of injections given was 4.5.  There were no re-admissions for complications post procedure. 1(2.2%) patient presented to SDEC with urinary infection needing oral antibiotics. IPSS and QoL scores’ data were available for 37 patients, of which 33 (89%) patients showed improvement in both IPSS and QoL scores on undergoing REZUM (Figure-1). </w:t>
            </w:r>
            <w:r w:rsidRPr="00C22E11">
              <w:t>2</w:t>
            </w:r>
            <w:r>
              <w:t xml:space="preserve"> (4.4%)</w:t>
            </w:r>
            <w:r w:rsidRPr="00C22E11">
              <w:t xml:space="preserve"> patients required repeat REZUM procedures in view of recurrence of symptoms</w:t>
            </w:r>
            <w:r>
              <w:t xml:space="preserve">. 36 (80%) </w:t>
            </w:r>
            <w:r w:rsidRPr="004004A5">
              <w:t>patients were discharg</w:t>
            </w:r>
            <w:r>
              <w:t xml:space="preserve">ed back to primary care at the </w:t>
            </w:r>
            <w:r w:rsidRPr="004004A5">
              <w:t>6-month follow up with improved symptoms</w:t>
            </w:r>
            <w:r>
              <w:t>.</w:t>
            </w:r>
          </w:p>
        </w:tc>
      </w:tr>
      <w:tr w:rsidR="00D33466" w:rsidTr="00EC2E3B">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Pr="00DB26B6" w:rsidRDefault="00D33466" w:rsidP="00D33466">
            <w:pPr>
              <w:spacing w:after="0" w:line="240" w:lineRule="auto"/>
            </w:pPr>
            <w:r>
              <w:rPr>
                <w:b/>
              </w:rPr>
              <w:t>Conclusion</w:t>
            </w:r>
            <w:r>
              <w:t>: REZUM has proven to be an efficient and safe minimally invasive treatment option in our patient cohort. It is a g</w:t>
            </w:r>
            <w:r w:rsidRPr="004004A5">
              <w:t>ood alternative to more invasive surgical procedures for BPH in appropriately selected patient population</w:t>
            </w:r>
            <w:r>
              <w:t>.</w:t>
            </w:r>
          </w:p>
        </w:tc>
      </w:tr>
    </w:tbl>
    <w:p w:rsidR="00D33466" w:rsidRPr="00D33466" w:rsidRDefault="00D33466" w:rsidP="00D33466"/>
    <w:p w:rsidR="00D33466" w:rsidRPr="00D33466" w:rsidRDefault="00D33466" w:rsidP="00D33466"/>
    <w:p w:rsidR="00D33466" w:rsidRPr="00D33466" w:rsidRDefault="00EC2E3B" w:rsidP="00D33466">
      <w:r>
        <w:rPr>
          <w:noProof/>
          <w:lang w:eastAsia="en-GB"/>
        </w:rPr>
        <w:drawing>
          <wp:inline distT="0" distB="0" distL="0" distR="0" wp14:anchorId="7EC7AB09" wp14:editId="48359CE7">
            <wp:extent cx="5731510" cy="5731510"/>
            <wp:effectExtent l="0" t="0" r="0" b="0"/>
            <wp:docPr id="5" name="Picture 5"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graph&#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rsidR="00D33466" w:rsidRDefault="00D33466" w:rsidP="00D33466"/>
    <w:p w:rsidR="00D33466" w:rsidRDefault="00D33466" w:rsidP="00D33466"/>
    <w:p w:rsidR="00D33466" w:rsidRDefault="00D33466" w:rsidP="00D33466"/>
    <w:p w:rsidR="001A44C0" w:rsidRDefault="001A44C0" w:rsidP="00D33466"/>
    <w:p w:rsidR="001A44C0" w:rsidRDefault="001A44C0" w:rsidP="00D33466"/>
    <w:p w:rsidR="001A44C0" w:rsidRDefault="001A44C0" w:rsidP="00D33466"/>
    <w:p w:rsidR="001A44C0" w:rsidRDefault="001A44C0" w:rsidP="00D33466"/>
    <w:p w:rsidR="001A44C0" w:rsidRDefault="001A44C0" w:rsidP="00D33466"/>
    <w:p w:rsidR="001A44C0" w:rsidRDefault="001A44C0" w:rsidP="00D33466"/>
    <w:p w:rsidR="00D33466" w:rsidRDefault="00D33466" w:rsidP="00D334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8"/>
        <w:gridCol w:w="3528"/>
      </w:tblGrid>
      <w:tr w:rsidR="00D33466" w:rsidTr="00EC2E3B">
        <w:tc>
          <w:tcPr>
            <w:tcW w:w="5488" w:type="dxa"/>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pPr>
            <w:r>
              <w:rPr>
                <w:b/>
              </w:rPr>
              <w:t>Name of Presenter</w:t>
            </w:r>
            <w:r>
              <w:t>: Dayan Jacob</w:t>
            </w:r>
          </w:p>
          <w:p w:rsidR="00D33466" w:rsidRDefault="00D33466" w:rsidP="00D33466">
            <w:pPr>
              <w:spacing w:after="0" w:line="240" w:lineRule="auto"/>
              <w:rPr>
                <w:rFonts w:cs="Times New Roman"/>
              </w:rPr>
            </w:pPr>
          </w:p>
        </w:tc>
        <w:tc>
          <w:tcPr>
            <w:tcW w:w="3528" w:type="dxa"/>
            <w:tcBorders>
              <w:top w:val="single" w:sz="4" w:space="0" w:color="auto"/>
              <w:left w:val="single" w:sz="4" w:space="0" w:color="auto"/>
              <w:bottom w:val="single" w:sz="4" w:space="0" w:color="auto"/>
              <w:right w:val="single" w:sz="4" w:space="0" w:color="auto"/>
            </w:tcBorders>
            <w:hideMark/>
          </w:tcPr>
          <w:p w:rsidR="00D33466" w:rsidRDefault="00D33466" w:rsidP="00D33466">
            <w:pPr>
              <w:spacing w:after="0" w:line="240" w:lineRule="auto"/>
              <w:rPr>
                <w:rFonts w:cs="Times New Roman"/>
              </w:rPr>
            </w:pPr>
            <w:r>
              <w:rPr>
                <w:b/>
              </w:rPr>
              <w:t>Training grade/post</w:t>
            </w:r>
            <w:r>
              <w:t>: Urology teaching Fellow</w:t>
            </w:r>
          </w:p>
        </w:tc>
      </w:tr>
      <w:tr w:rsidR="00D33466" w:rsidTr="00EC2E3B">
        <w:tc>
          <w:tcPr>
            <w:tcW w:w="9016" w:type="dxa"/>
            <w:gridSpan w:val="2"/>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pPr>
            <w:r>
              <w:rPr>
                <w:b/>
              </w:rPr>
              <w:t>Institution</w:t>
            </w:r>
            <w:r>
              <w:t>: South Tees Hospitals NHS Foundation Trust</w:t>
            </w:r>
          </w:p>
          <w:p w:rsidR="00D33466" w:rsidRDefault="00D33466" w:rsidP="00D33466">
            <w:pPr>
              <w:spacing w:after="0" w:line="240" w:lineRule="auto"/>
              <w:rPr>
                <w:rFonts w:cs="Times New Roman"/>
              </w:rPr>
            </w:pPr>
          </w:p>
        </w:tc>
      </w:tr>
      <w:tr w:rsidR="00D33466" w:rsidTr="00EC2E3B">
        <w:tc>
          <w:tcPr>
            <w:tcW w:w="9016" w:type="dxa"/>
            <w:gridSpan w:val="2"/>
            <w:tcBorders>
              <w:top w:val="single" w:sz="4" w:space="0" w:color="auto"/>
              <w:left w:val="single" w:sz="4" w:space="0" w:color="auto"/>
              <w:bottom w:val="single" w:sz="4" w:space="0" w:color="auto"/>
              <w:right w:val="single" w:sz="4" w:space="0" w:color="auto"/>
            </w:tcBorders>
          </w:tcPr>
          <w:p w:rsidR="00D33466" w:rsidRPr="003C2AFD" w:rsidRDefault="00D33466" w:rsidP="00D33466">
            <w:pPr>
              <w:spacing w:after="0" w:line="240" w:lineRule="auto"/>
              <w:rPr>
                <w:lang w:val="en"/>
              </w:rPr>
            </w:pPr>
            <w:r>
              <w:rPr>
                <w:b/>
              </w:rPr>
              <w:t>Title of Presentation</w:t>
            </w:r>
            <w:r>
              <w:t xml:space="preserve">: </w:t>
            </w:r>
            <w:r w:rsidRPr="003C2AFD">
              <w:rPr>
                <w:b/>
                <w:bCs/>
                <w:lang w:val="en"/>
              </w:rPr>
              <w:t xml:space="preserve">Is Penile Fracture Management </w:t>
            </w:r>
            <w:r>
              <w:rPr>
                <w:b/>
                <w:bCs/>
                <w:lang w:val="en"/>
              </w:rPr>
              <w:t>S</w:t>
            </w:r>
            <w:r w:rsidRPr="003C2AFD">
              <w:rPr>
                <w:b/>
                <w:bCs/>
                <w:lang w:val="en"/>
              </w:rPr>
              <w:t xml:space="preserve">tandardized in the North East: </w:t>
            </w:r>
            <w:r w:rsidRPr="003C2AFD">
              <w:rPr>
                <w:lang w:val="en"/>
              </w:rPr>
              <w:t>An Audit of Regional Variations</w:t>
            </w:r>
          </w:p>
          <w:p w:rsidR="00D33466" w:rsidRDefault="00D33466" w:rsidP="00D33466">
            <w:pPr>
              <w:spacing w:after="0" w:line="240" w:lineRule="auto"/>
              <w:rPr>
                <w:rFonts w:cs="Times New Roman"/>
              </w:rPr>
            </w:pPr>
          </w:p>
        </w:tc>
      </w:tr>
      <w:tr w:rsidR="00D33466" w:rsidTr="00EC2E3B">
        <w:tc>
          <w:tcPr>
            <w:tcW w:w="9016" w:type="dxa"/>
            <w:gridSpan w:val="2"/>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pPr>
            <w:r>
              <w:rPr>
                <w:b/>
              </w:rPr>
              <w:t>Authors</w:t>
            </w:r>
            <w:r>
              <w:t>:</w:t>
            </w:r>
          </w:p>
          <w:p w:rsidR="00D33466" w:rsidRDefault="00D33466" w:rsidP="00D33466">
            <w:pPr>
              <w:spacing w:after="0" w:line="240" w:lineRule="auto"/>
            </w:pPr>
            <w:r>
              <w:t xml:space="preserve">D Jacob, M Mubarak, L McGuinness, M Nadeem </w:t>
            </w:r>
          </w:p>
          <w:p w:rsidR="00D33466" w:rsidRDefault="00D33466" w:rsidP="00D33466">
            <w:pPr>
              <w:spacing w:after="0" w:line="240" w:lineRule="auto"/>
              <w:rPr>
                <w:rFonts w:cs="Times New Roman"/>
              </w:rPr>
            </w:pPr>
          </w:p>
        </w:tc>
      </w:tr>
      <w:tr w:rsidR="00D33466" w:rsidTr="00EC2E3B">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spacing w:after="0" w:line="240" w:lineRule="auto"/>
            </w:pPr>
            <w:r>
              <w:rPr>
                <w:b/>
              </w:rPr>
              <w:t>Aims</w:t>
            </w:r>
            <w:r>
              <w:t>:</w:t>
            </w:r>
            <w:r w:rsidRPr="00C7333F">
              <w:t xml:space="preserve"> </w:t>
            </w:r>
            <w:r w:rsidRPr="003C2AFD">
              <w:t>Penile fracture is an andrological emergency involving the rupture of the tunica albuginea and subsequent bleeding into the surrounding layers. While management approaches vary, the BAUS consensus guideline recommend a standardised approach. This audit aims to evaluate regional management practices in suspected penile fractures</w:t>
            </w:r>
          </w:p>
          <w:p w:rsidR="00D33466" w:rsidRDefault="00D33466" w:rsidP="00D33466">
            <w:pPr>
              <w:spacing w:after="0" w:line="240" w:lineRule="auto"/>
              <w:rPr>
                <w:rFonts w:cs="Times New Roman"/>
              </w:rPr>
            </w:pPr>
          </w:p>
        </w:tc>
      </w:tr>
      <w:tr w:rsidR="00D33466" w:rsidTr="00EC2E3B">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rPr>
                <w:rFonts w:cs="Times New Roman"/>
              </w:rPr>
            </w:pPr>
            <w:r>
              <w:rPr>
                <w:b/>
              </w:rPr>
              <w:t xml:space="preserve">Methods: </w:t>
            </w:r>
            <w:r w:rsidRPr="003C2AFD">
              <w:rPr>
                <w:bCs/>
              </w:rPr>
              <w:t>A retrospective audit was carried out on suspected penile fracture cases from South Tyneside &amp; Sunderland NHS Foundation Trust and South Tees NHS Foundation Trust between 2018 and 2024. Data collected included patient age, time to presentation and repair, clinical features, imaging, surgical approach, intraoperative findings, and follow-up. Patients with incomplete or duplicate records were excluded</w:t>
            </w:r>
            <w:r w:rsidRPr="003C2AFD">
              <w:rPr>
                <w:b/>
              </w:rPr>
              <w:t>.</w:t>
            </w:r>
          </w:p>
        </w:tc>
      </w:tr>
      <w:tr w:rsidR="00D33466" w:rsidTr="00EC2E3B">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spacing w:after="0"/>
            </w:pPr>
            <w:r>
              <w:rPr>
                <w:b/>
              </w:rPr>
              <w:t>Results</w:t>
            </w:r>
            <w:r>
              <w:t>:</w:t>
            </w:r>
            <w:r w:rsidRPr="00C7333F">
              <w:t xml:space="preserve"> </w:t>
            </w:r>
            <w:r w:rsidRPr="003C2AFD">
              <w:t>A total of 21 patients presented with suspected penile fractures. The average time to presentation was 15.9 hours, with surgery occurring after an average of 18.5 hours. All patients had penile swelling and bruising, while 76.2% (n=16) also had significant bruising, and 9.5% (n=2) experienced urinary retention. Pre-operative imaging was performed for nine patients, with six undergoing ultrasounds. Intraoperatively, 52% (n=11) had a urethral inspection, with cystoscopy used in 10 cases. The surgical approach varied, with degloving used in 57.1% (n=12), overlying incision in 23.8% (n=5), and ventral midline incision in 19.1% (n=4). Defects were found in 85.8% of cases, with 72.2% repaired using non-absorbable sutures. Follow-up was arranged for 81% of patients.</w:t>
            </w:r>
          </w:p>
          <w:p w:rsidR="00D33466" w:rsidRDefault="00D33466" w:rsidP="00D33466">
            <w:pPr>
              <w:spacing w:after="0" w:line="240" w:lineRule="auto"/>
              <w:rPr>
                <w:rFonts w:cs="Times New Roman"/>
              </w:rPr>
            </w:pPr>
          </w:p>
        </w:tc>
      </w:tr>
      <w:tr w:rsidR="00D33466" w:rsidTr="00EC2E3B">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spacing w:after="0" w:line="240" w:lineRule="auto"/>
            </w:pPr>
            <w:r>
              <w:rPr>
                <w:b/>
              </w:rPr>
              <w:t>Conclusion</w:t>
            </w:r>
            <w:r>
              <w:t xml:space="preserve">: </w:t>
            </w:r>
            <w:r w:rsidRPr="003C2AFD">
              <w:t>Although an uncommon urological presentation, variations in approach were noted both regionally and locally, highlighting the need for a discussion on a standardising the approach as per the consensus guidelines.</w:t>
            </w:r>
          </w:p>
          <w:p w:rsidR="00D33466" w:rsidRDefault="00D33466" w:rsidP="00D33466">
            <w:pPr>
              <w:spacing w:after="0" w:line="240" w:lineRule="auto"/>
              <w:rPr>
                <w:rFonts w:cs="Times New Roman"/>
              </w:rPr>
            </w:pPr>
          </w:p>
        </w:tc>
      </w:tr>
    </w:tbl>
    <w:p w:rsidR="00D33466" w:rsidRDefault="00D33466" w:rsidP="00D33466"/>
    <w:p w:rsidR="00D33466" w:rsidRDefault="00D33466" w:rsidP="00D33466"/>
    <w:p w:rsidR="00D33466" w:rsidRDefault="00D33466" w:rsidP="00D33466"/>
    <w:p w:rsidR="00D33466" w:rsidRDefault="00D33466" w:rsidP="00D33466"/>
    <w:p w:rsidR="00D33466" w:rsidRDefault="00D33466" w:rsidP="00D33466"/>
    <w:p w:rsidR="00D33466" w:rsidRDefault="00D33466" w:rsidP="00D334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8"/>
        <w:gridCol w:w="3528"/>
      </w:tblGrid>
      <w:tr w:rsidR="00D33466" w:rsidTr="00EC2E3B">
        <w:tc>
          <w:tcPr>
            <w:tcW w:w="5488" w:type="dxa"/>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pPr>
            <w:r>
              <w:rPr>
                <w:b/>
              </w:rPr>
              <w:t>Name of Presenter</w:t>
            </w:r>
            <w:r>
              <w:t xml:space="preserve">: Dayan Jacob </w:t>
            </w:r>
          </w:p>
          <w:p w:rsidR="00D33466" w:rsidRDefault="00D33466" w:rsidP="00D33466">
            <w:pPr>
              <w:spacing w:after="0" w:line="240" w:lineRule="auto"/>
              <w:rPr>
                <w:rFonts w:cs="Times New Roman"/>
              </w:rPr>
            </w:pPr>
          </w:p>
        </w:tc>
        <w:tc>
          <w:tcPr>
            <w:tcW w:w="3528" w:type="dxa"/>
            <w:tcBorders>
              <w:top w:val="single" w:sz="4" w:space="0" w:color="auto"/>
              <w:left w:val="single" w:sz="4" w:space="0" w:color="auto"/>
              <w:bottom w:val="single" w:sz="4" w:space="0" w:color="auto"/>
              <w:right w:val="single" w:sz="4" w:space="0" w:color="auto"/>
            </w:tcBorders>
            <w:hideMark/>
          </w:tcPr>
          <w:p w:rsidR="00D33466" w:rsidRDefault="00D33466" w:rsidP="00D33466">
            <w:pPr>
              <w:spacing w:after="0" w:line="240" w:lineRule="auto"/>
              <w:rPr>
                <w:rFonts w:cs="Times New Roman"/>
              </w:rPr>
            </w:pPr>
            <w:r>
              <w:rPr>
                <w:b/>
              </w:rPr>
              <w:t>Training grade/post</w:t>
            </w:r>
            <w:r>
              <w:t>: Urology Teaching Fellow</w:t>
            </w:r>
          </w:p>
        </w:tc>
      </w:tr>
      <w:tr w:rsidR="00D33466" w:rsidTr="00EC2E3B">
        <w:tc>
          <w:tcPr>
            <w:tcW w:w="9016" w:type="dxa"/>
            <w:gridSpan w:val="2"/>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pPr>
            <w:r>
              <w:rPr>
                <w:b/>
              </w:rPr>
              <w:t>Institution</w:t>
            </w:r>
            <w:r>
              <w:t>: South Tees Hospitals NHS Foundation Trust</w:t>
            </w:r>
          </w:p>
          <w:p w:rsidR="00D33466" w:rsidRDefault="00D33466" w:rsidP="00D33466">
            <w:pPr>
              <w:spacing w:after="0" w:line="240" w:lineRule="auto"/>
              <w:rPr>
                <w:rFonts w:cs="Times New Roman"/>
              </w:rPr>
            </w:pPr>
          </w:p>
        </w:tc>
      </w:tr>
      <w:tr w:rsidR="00D33466" w:rsidTr="00EC2E3B">
        <w:tc>
          <w:tcPr>
            <w:tcW w:w="9016" w:type="dxa"/>
            <w:gridSpan w:val="2"/>
            <w:tcBorders>
              <w:top w:val="single" w:sz="4" w:space="0" w:color="auto"/>
              <w:left w:val="single" w:sz="4" w:space="0" w:color="auto"/>
              <w:bottom w:val="single" w:sz="4" w:space="0" w:color="auto"/>
              <w:right w:val="single" w:sz="4" w:space="0" w:color="auto"/>
            </w:tcBorders>
          </w:tcPr>
          <w:p w:rsidR="00D33466" w:rsidRPr="004609A9" w:rsidRDefault="00D33466" w:rsidP="00D33466">
            <w:pPr>
              <w:spacing w:after="0" w:line="240" w:lineRule="auto"/>
              <w:rPr>
                <w:bCs/>
                <w:lang w:val="en"/>
              </w:rPr>
            </w:pPr>
            <w:r>
              <w:rPr>
                <w:b/>
              </w:rPr>
              <w:t>Title of Presentation</w:t>
            </w:r>
            <w:r>
              <w:t xml:space="preserve">: </w:t>
            </w:r>
            <w:r w:rsidRPr="004609A9">
              <w:rPr>
                <w:b/>
                <w:lang w:val="en"/>
              </w:rPr>
              <w:t xml:space="preserve">Subinguinal Orchidectomy for Testicular Cancer: </w:t>
            </w:r>
            <w:r w:rsidRPr="004609A9">
              <w:rPr>
                <w:bCs/>
                <w:lang w:val="en"/>
              </w:rPr>
              <w:t>Is this the way forward or is it an unnecessary innovation?</w:t>
            </w:r>
          </w:p>
          <w:p w:rsidR="00D33466" w:rsidRDefault="00D33466" w:rsidP="00D33466">
            <w:pPr>
              <w:spacing w:after="0" w:line="240" w:lineRule="auto"/>
              <w:rPr>
                <w:rFonts w:cs="Times New Roman"/>
              </w:rPr>
            </w:pPr>
          </w:p>
        </w:tc>
      </w:tr>
      <w:tr w:rsidR="00D33466" w:rsidTr="00EC2E3B">
        <w:tc>
          <w:tcPr>
            <w:tcW w:w="9016" w:type="dxa"/>
            <w:gridSpan w:val="2"/>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pPr>
            <w:r>
              <w:rPr>
                <w:b/>
              </w:rPr>
              <w:t>Authors</w:t>
            </w:r>
            <w:r>
              <w:t>:</w:t>
            </w:r>
          </w:p>
          <w:p w:rsidR="00D33466" w:rsidRDefault="00D33466" w:rsidP="00D33466">
            <w:pPr>
              <w:spacing w:after="0" w:line="240" w:lineRule="auto"/>
            </w:pPr>
            <w:r>
              <w:t xml:space="preserve">D Jacob, P </w:t>
            </w:r>
            <w:proofErr w:type="spellStart"/>
            <w:r>
              <w:t>Chitteti</w:t>
            </w:r>
            <w:proofErr w:type="spellEnd"/>
            <w:r>
              <w:t xml:space="preserve">, M Mubarak, M Nadeem </w:t>
            </w:r>
          </w:p>
          <w:p w:rsidR="00D33466" w:rsidRDefault="00D33466" w:rsidP="00D33466">
            <w:pPr>
              <w:spacing w:after="0" w:line="240" w:lineRule="auto"/>
              <w:rPr>
                <w:rFonts w:cs="Times New Roman"/>
              </w:rPr>
            </w:pPr>
          </w:p>
        </w:tc>
      </w:tr>
      <w:tr w:rsidR="00D33466" w:rsidTr="00EC2E3B">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spacing w:after="0" w:line="240" w:lineRule="auto"/>
              <w:rPr>
                <w:bCs/>
                <w:color w:val="000000" w:themeColor="text1"/>
              </w:rPr>
            </w:pPr>
            <w:r>
              <w:rPr>
                <w:b/>
              </w:rPr>
              <w:t xml:space="preserve">Aims: </w:t>
            </w:r>
            <w:r w:rsidRPr="004609A9">
              <w:rPr>
                <w:bCs/>
              </w:rPr>
              <w:t>Subinguinal orchidectomy is a variation of the traditional high inguinal approach for testicular cancer, differing in the level of spermatic cord excision. While the subinguinal approach preserves the inguinal canal and ilioinguinal nerve, concerns remain about residual disease in the proximal cord and its impact on oncological outcomes. This review evaluates oncological outcomes and complications of subinguinal orchidectomy.</w:t>
            </w:r>
          </w:p>
          <w:p w:rsidR="00D33466" w:rsidRDefault="00D33466" w:rsidP="00D33466">
            <w:pPr>
              <w:spacing w:after="0" w:line="240" w:lineRule="auto"/>
              <w:rPr>
                <w:rFonts w:cs="Times New Roman"/>
              </w:rPr>
            </w:pPr>
          </w:p>
        </w:tc>
      </w:tr>
      <w:tr w:rsidR="00D33466" w:rsidTr="00EC2E3B">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rPr>
                <w:rFonts w:cs="Times New Roman"/>
              </w:rPr>
            </w:pPr>
            <w:r>
              <w:rPr>
                <w:b/>
              </w:rPr>
              <w:t>Methods</w:t>
            </w:r>
            <w:r>
              <w:t>:</w:t>
            </w:r>
            <w:r w:rsidRPr="007748C2">
              <w:rPr>
                <w:bCs/>
                <w:color w:val="000000" w:themeColor="text1"/>
              </w:rPr>
              <w:t xml:space="preserve"> </w:t>
            </w:r>
            <w:r w:rsidRPr="004609A9">
              <w:rPr>
                <w:bCs/>
                <w:color w:val="000000" w:themeColor="text1"/>
                <w:lang w:val="en"/>
              </w:rPr>
              <w:t>A search was conducted across five databases (PubMed, Scopus, Google Scholar, Cochrane Library, Embase). Studies reporting inguinal vs. subinguinal orchidectomies, tumor grade, oncological outcomes, complications, and follow-up were included. Descriptive statistics were performed using Microsoft Excel.</w:t>
            </w:r>
          </w:p>
        </w:tc>
      </w:tr>
      <w:tr w:rsidR="00D33466" w:rsidTr="00EC2E3B">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Pr="004609A9" w:rsidRDefault="00D33466" w:rsidP="00D33466">
            <w:pPr>
              <w:spacing w:after="0" w:line="240" w:lineRule="auto"/>
              <w:rPr>
                <w:bCs/>
                <w:color w:val="000000" w:themeColor="text1"/>
                <w:lang w:val="en"/>
              </w:rPr>
            </w:pPr>
            <w:r>
              <w:rPr>
                <w:b/>
              </w:rPr>
              <w:t>Results</w:t>
            </w:r>
            <w:r>
              <w:t>:</w:t>
            </w:r>
            <w:r w:rsidRPr="007748C2">
              <w:rPr>
                <w:bCs/>
                <w:color w:val="000000" w:themeColor="text1"/>
              </w:rPr>
              <w:t xml:space="preserve"> </w:t>
            </w:r>
            <w:r w:rsidRPr="004609A9">
              <w:rPr>
                <w:bCs/>
                <w:color w:val="000000" w:themeColor="text1"/>
                <w:lang w:val="en"/>
              </w:rPr>
              <w:t>Of 25 studies screened, two were eligible for review, including data from 264 patients (2000-2024). A Subinguinal orchidectomy was done in 54.7% (n=144) of cases. Unsatisfactory oncological control was observed in 12.5% (n=18) of subinguinal cases, with 78% (n=14) due to cancer relapse, 16.5% (n=3) spermatic cord invasion, and 5.5% (n=1) positive margins. One study comparing both subinguinal and high inguinal approaches found no differences in oncological outcomes between Stage 1 and Stage 2-4 cancers (p = 0.91, &amp; p = 0.78, respectively). One study reported that 9.5% of patients who underwent subinguinal orchidectomy (n=4) developed seromas post-operatively.</w:t>
            </w:r>
          </w:p>
          <w:p w:rsidR="00D33466" w:rsidRDefault="00D33466" w:rsidP="00D33466">
            <w:pPr>
              <w:spacing w:after="0" w:line="240" w:lineRule="auto"/>
              <w:rPr>
                <w:rFonts w:cs="Times New Roman"/>
              </w:rPr>
            </w:pPr>
          </w:p>
        </w:tc>
      </w:tr>
      <w:tr w:rsidR="00D33466" w:rsidTr="00EC2E3B">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rPr>
                <w:rFonts w:cs="Times New Roman"/>
              </w:rPr>
            </w:pPr>
            <w:r>
              <w:rPr>
                <w:b/>
              </w:rPr>
              <w:t>Conclusion</w:t>
            </w:r>
            <w:r>
              <w:t>:</w:t>
            </w:r>
            <w:r w:rsidRPr="007748C2">
              <w:rPr>
                <w:bCs/>
                <w:color w:val="000000" w:themeColor="text1"/>
              </w:rPr>
              <w:t xml:space="preserve"> </w:t>
            </w:r>
            <w:r w:rsidRPr="004609A9">
              <w:rPr>
                <w:bCs/>
                <w:color w:val="000000" w:themeColor="text1"/>
                <w:lang w:val="en"/>
              </w:rPr>
              <w:t>Current evidence, though limited, suggests no significant differences in oncological outcomes between subinguinal and high-inguinal orchidectomies. While retrospective studies support this, prospective trials are required to better valuate the oncological risk-benefit ratio of subinguinal orchidectomy.</w:t>
            </w:r>
          </w:p>
        </w:tc>
      </w:tr>
    </w:tbl>
    <w:p w:rsidR="00D33466" w:rsidRDefault="00D33466" w:rsidP="00D33466"/>
    <w:p w:rsidR="00D33466" w:rsidRDefault="00D33466" w:rsidP="00D33466"/>
    <w:p w:rsidR="00D33466" w:rsidRDefault="00D33466" w:rsidP="00D33466"/>
    <w:p w:rsidR="00D33466" w:rsidRDefault="00D33466" w:rsidP="00D33466"/>
    <w:p w:rsidR="00D33466" w:rsidRDefault="00D33466" w:rsidP="00D33466"/>
    <w:p w:rsidR="00D33466" w:rsidRDefault="00D33466" w:rsidP="00D334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8"/>
        <w:gridCol w:w="3528"/>
      </w:tblGrid>
      <w:tr w:rsidR="00D33466" w:rsidTr="00EC2E3B">
        <w:tc>
          <w:tcPr>
            <w:tcW w:w="5488" w:type="dxa"/>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pPr>
            <w:r>
              <w:rPr>
                <w:b/>
              </w:rPr>
              <w:t>Name of Presenter</w:t>
            </w:r>
            <w:r>
              <w:t>: Dayan Jacob</w:t>
            </w:r>
          </w:p>
          <w:p w:rsidR="00D33466" w:rsidRDefault="00D33466" w:rsidP="00D33466">
            <w:pPr>
              <w:spacing w:after="0" w:line="240" w:lineRule="auto"/>
              <w:rPr>
                <w:rFonts w:cs="Times New Roman"/>
              </w:rPr>
            </w:pPr>
          </w:p>
        </w:tc>
        <w:tc>
          <w:tcPr>
            <w:tcW w:w="3528" w:type="dxa"/>
            <w:tcBorders>
              <w:top w:val="single" w:sz="4" w:space="0" w:color="auto"/>
              <w:left w:val="single" w:sz="4" w:space="0" w:color="auto"/>
              <w:bottom w:val="single" w:sz="4" w:space="0" w:color="auto"/>
              <w:right w:val="single" w:sz="4" w:space="0" w:color="auto"/>
            </w:tcBorders>
            <w:hideMark/>
          </w:tcPr>
          <w:p w:rsidR="00D33466" w:rsidRDefault="00D33466" w:rsidP="00D33466">
            <w:pPr>
              <w:spacing w:after="0" w:line="240" w:lineRule="auto"/>
              <w:rPr>
                <w:rFonts w:cs="Times New Roman"/>
              </w:rPr>
            </w:pPr>
            <w:r>
              <w:rPr>
                <w:b/>
              </w:rPr>
              <w:t>Training grade/post</w:t>
            </w:r>
            <w:r>
              <w:t>: Urology Teaching Fellow</w:t>
            </w:r>
          </w:p>
        </w:tc>
      </w:tr>
      <w:tr w:rsidR="00D33466" w:rsidTr="00EC2E3B">
        <w:tc>
          <w:tcPr>
            <w:tcW w:w="9016" w:type="dxa"/>
            <w:gridSpan w:val="2"/>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pPr>
            <w:r>
              <w:rPr>
                <w:b/>
              </w:rPr>
              <w:t>Institution</w:t>
            </w:r>
            <w:r>
              <w:t>: South Tees Hospitals NHS Foundation Trust</w:t>
            </w:r>
          </w:p>
          <w:p w:rsidR="00D33466" w:rsidRDefault="00D33466" w:rsidP="00D33466">
            <w:pPr>
              <w:spacing w:after="0" w:line="240" w:lineRule="auto"/>
              <w:rPr>
                <w:rFonts w:cs="Times New Roman"/>
              </w:rPr>
            </w:pPr>
          </w:p>
        </w:tc>
      </w:tr>
      <w:tr w:rsidR="00D33466" w:rsidTr="00EC2E3B">
        <w:tc>
          <w:tcPr>
            <w:tcW w:w="9016" w:type="dxa"/>
            <w:gridSpan w:val="2"/>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pPr>
            <w:r>
              <w:rPr>
                <w:b/>
              </w:rPr>
              <w:t>Title of Presentation</w:t>
            </w:r>
            <w:r>
              <w:t xml:space="preserve">: </w:t>
            </w:r>
            <w:r w:rsidRPr="00345107">
              <w:rPr>
                <w:b/>
                <w:bCs/>
              </w:rPr>
              <w:t>Intracorporal Botulinum Toxin as a Minimally Invasive Option for Premature Ejaculation: A Review of Randomised Trials</w:t>
            </w:r>
          </w:p>
          <w:p w:rsidR="00D33466" w:rsidRDefault="00D33466" w:rsidP="00D33466">
            <w:pPr>
              <w:spacing w:after="0" w:line="240" w:lineRule="auto"/>
              <w:rPr>
                <w:rFonts w:cs="Times New Roman"/>
              </w:rPr>
            </w:pPr>
          </w:p>
        </w:tc>
      </w:tr>
      <w:tr w:rsidR="00D33466" w:rsidTr="00EC2E3B">
        <w:tc>
          <w:tcPr>
            <w:tcW w:w="9016" w:type="dxa"/>
            <w:gridSpan w:val="2"/>
            <w:tcBorders>
              <w:top w:val="single" w:sz="4" w:space="0" w:color="auto"/>
              <w:left w:val="single" w:sz="4" w:space="0" w:color="auto"/>
              <w:bottom w:val="single" w:sz="4" w:space="0" w:color="auto"/>
              <w:right w:val="single" w:sz="4" w:space="0" w:color="auto"/>
            </w:tcBorders>
          </w:tcPr>
          <w:p w:rsidR="00D33466" w:rsidRPr="00345107" w:rsidRDefault="00D33466" w:rsidP="00D33466">
            <w:pPr>
              <w:spacing w:after="0" w:line="240" w:lineRule="auto"/>
              <w:rPr>
                <w:lang w:val="en"/>
              </w:rPr>
            </w:pPr>
            <w:r>
              <w:rPr>
                <w:b/>
              </w:rPr>
              <w:t>Authors</w:t>
            </w:r>
            <w:r>
              <w:t xml:space="preserve">: </w:t>
            </w:r>
            <w:r w:rsidRPr="00345107">
              <w:rPr>
                <w:lang w:val="en"/>
              </w:rPr>
              <w:t>D Jacob, M Mubarak, Q Isa, V Modgil, I Pearce</w:t>
            </w:r>
          </w:p>
          <w:p w:rsidR="00D33466" w:rsidRDefault="00D33466" w:rsidP="00D33466">
            <w:pPr>
              <w:spacing w:after="0" w:line="240" w:lineRule="auto"/>
              <w:rPr>
                <w:rFonts w:cs="Times New Roman"/>
              </w:rPr>
            </w:pPr>
          </w:p>
        </w:tc>
      </w:tr>
      <w:tr w:rsidR="00D33466" w:rsidTr="00EC2E3B">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spacing w:after="0" w:line="240" w:lineRule="auto"/>
            </w:pPr>
            <w:r>
              <w:rPr>
                <w:b/>
              </w:rPr>
              <w:t>Aims</w:t>
            </w:r>
            <w:r>
              <w:t>:</w:t>
            </w:r>
            <w:r w:rsidRPr="00345107">
              <w:t xml:space="preserve"> The ejaculation reflex consists of emulsion and expulsion. The latter occurs via rhythmic contractions of the pelvic floor muscles and penile corporal muscles. This is a review that investigates high-quality data from randomised trials on Botulinum Toxin-A’s efficacy in prolonging intravaginal ejaculatory latency time (IELT) for patients with lifelong PE</w:t>
            </w:r>
          </w:p>
          <w:p w:rsidR="00D33466" w:rsidRDefault="00D33466" w:rsidP="00D33466">
            <w:pPr>
              <w:spacing w:after="0" w:line="240" w:lineRule="auto"/>
              <w:rPr>
                <w:rFonts w:cs="Times New Roman"/>
              </w:rPr>
            </w:pPr>
          </w:p>
        </w:tc>
      </w:tr>
      <w:tr w:rsidR="00D33466" w:rsidTr="00EC2E3B">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spacing w:after="0" w:line="240" w:lineRule="auto"/>
            </w:pPr>
            <w:r>
              <w:rPr>
                <w:b/>
              </w:rPr>
              <w:t>Methods</w:t>
            </w:r>
            <w:r>
              <w:t xml:space="preserve">: </w:t>
            </w:r>
            <w:r w:rsidRPr="00345107">
              <w:rPr>
                <w:lang w:val="en"/>
              </w:rPr>
              <w:t xml:space="preserve">This is a systematic review done in adherence to PRISMA guidelines. Only </w:t>
            </w:r>
            <w:proofErr w:type="spellStart"/>
            <w:r w:rsidRPr="00345107">
              <w:rPr>
                <w:lang w:val="en"/>
              </w:rPr>
              <w:t>andomised</w:t>
            </w:r>
            <w:proofErr w:type="spellEnd"/>
            <w:r w:rsidRPr="00345107">
              <w:rPr>
                <w:lang w:val="en"/>
              </w:rPr>
              <w:t xml:space="preserve"> trials were eligible for review. The main outcome of interest was IELT after botulinum toxin-A injection. Other extracted variables included follow up period and relevant patient questionnaires such as PEP &amp; PEDT. Descriptive statistics and meta-analysis were done using Microsoft Excel, and R.</w:t>
            </w:r>
          </w:p>
          <w:p w:rsidR="00D33466" w:rsidRDefault="00D33466" w:rsidP="00D33466">
            <w:pPr>
              <w:spacing w:after="0" w:line="240" w:lineRule="auto"/>
              <w:rPr>
                <w:rFonts w:cs="Times New Roman"/>
              </w:rPr>
            </w:pPr>
          </w:p>
        </w:tc>
      </w:tr>
      <w:tr w:rsidR="00D33466" w:rsidTr="00EC2E3B">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spacing w:after="0" w:line="240" w:lineRule="auto"/>
            </w:pPr>
            <w:r>
              <w:rPr>
                <w:b/>
              </w:rPr>
              <w:t>Results</w:t>
            </w:r>
            <w:r>
              <w:t xml:space="preserve">: </w:t>
            </w:r>
            <w:r w:rsidRPr="00345107">
              <w:rPr>
                <w:lang w:val="en"/>
              </w:rPr>
              <w:t xml:space="preserve">Overall, six </w:t>
            </w:r>
            <w:proofErr w:type="spellStart"/>
            <w:r w:rsidRPr="00345107">
              <w:rPr>
                <w:lang w:val="en"/>
              </w:rPr>
              <w:t>randomised</w:t>
            </w:r>
            <w:proofErr w:type="spellEnd"/>
            <w:r w:rsidRPr="00345107">
              <w:rPr>
                <w:lang w:val="en"/>
              </w:rPr>
              <w:t xml:space="preserve"> trials (5 RCTs, 1 prospective trial) were eligible for review with four included comprising 144 patients. All trials demonstrated improvements in IELT, ranging from 1.7-96.6 seconds at one month follow up. Only one trial reported no improvement in IELT. Another prospective trial demonstrated varying, albeit positive, effects with injections in different parts of the penis. (p &lt; 0.05) In eligible trials, a meta-analysis of IELT changes demonstrated improvements in IELT by 39.6s (p &gt; 0.05), 11.5s (p &gt; 0.05), and 2.4s (p &gt; 0.05) at one, three, and six months, respectively.</w:t>
            </w:r>
          </w:p>
          <w:p w:rsidR="00D33466" w:rsidRDefault="00D33466" w:rsidP="00D33466">
            <w:pPr>
              <w:spacing w:after="0" w:line="240" w:lineRule="auto"/>
              <w:rPr>
                <w:rFonts w:cs="Times New Roman"/>
              </w:rPr>
            </w:pPr>
          </w:p>
        </w:tc>
      </w:tr>
      <w:tr w:rsidR="00D33466" w:rsidTr="00EC2E3B">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spacing w:after="0" w:line="240" w:lineRule="auto"/>
            </w:pPr>
            <w:r>
              <w:rPr>
                <w:b/>
              </w:rPr>
              <w:t>Conclusion</w:t>
            </w:r>
            <w:r>
              <w:t xml:space="preserve">: </w:t>
            </w:r>
            <w:r w:rsidRPr="00345107">
              <w:rPr>
                <w:lang w:val="en"/>
              </w:rPr>
              <w:t>The evidence on botulinum toxin-A’s impact on IELT is inconclusive. Technical variations were noted in the included trials. Prospective studies with a standard approach to Botulinum toxin-A injections are required to fully clarify the conflicting outcomes.</w:t>
            </w:r>
          </w:p>
          <w:p w:rsidR="00D33466" w:rsidRDefault="00D33466" w:rsidP="00D33466">
            <w:pPr>
              <w:spacing w:after="0" w:line="240" w:lineRule="auto"/>
              <w:rPr>
                <w:rFonts w:cs="Times New Roman"/>
              </w:rPr>
            </w:pPr>
          </w:p>
        </w:tc>
      </w:tr>
    </w:tbl>
    <w:p w:rsidR="00D33466" w:rsidRDefault="00D33466" w:rsidP="00D33466"/>
    <w:p w:rsidR="00D33466" w:rsidRDefault="00D33466" w:rsidP="00D33466"/>
    <w:p w:rsidR="00D33466" w:rsidRDefault="00D33466" w:rsidP="00D33466"/>
    <w:p w:rsidR="00D33466" w:rsidRDefault="00D33466" w:rsidP="00D33466"/>
    <w:p w:rsidR="00D33466" w:rsidRDefault="00D33466" w:rsidP="00D33466"/>
    <w:p w:rsidR="00D33466" w:rsidRDefault="00D33466" w:rsidP="00D33466"/>
    <w:p w:rsidR="00D33466" w:rsidRDefault="00D33466" w:rsidP="00D33466"/>
    <w:p w:rsidR="00D33466" w:rsidRDefault="00D33466" w:rsidP="00D33466"/>
    <w:p w:rsidR="00D33466" w:rsidRDefault="00D33466" w:rsidP="00D33466"/>
    <w:p w:rsidR="00D33466" w:rsidRDefault="00D33466" w:rsidP="00D33466">
      <w:pPr>
        <w:spacing w:line="254" w:lineRule="auto"/>
        <w:rPr>
          <w:rFonts w:ascii="Calibri" w:hAnsi="Calibri" w:cs="Calibri"/>
          <w:b/>
          <w:bCs/>
        </w:rPr>
      </w:pPr>
      <w:r>
        <w:rPr>
          <w:rFonts w:ascii="Calibri" w:hAnsi="Calibri" w:cs="Calibri"/>
          <w:b/>
          <w:bCs/>
        </w:rPr>
        <w:t xml:space="preserve">Name of Presenter: Eunice </w:t>
      </w:r>
      <w:proofErr w:type="spellStart"/>
      <w:r>
        <w:rPr>
          <w:rFonts w:ascii="Calibri" w:hAnsi="Calibri" w:cs="Calibri"/>
          <w:b/>
          <w:bCs/>
        </w:rPr>
        <w:t>Zuling</w:t>
      </w:r>
      <w:proofErr w:type="spellEnd"/>
      <w:r>
        <w:rPr>
          <w:rFonts w:ascii="Calibri" w:hAnsi="Calibri" w:cs="Calibri"/>
          <w:b/>
          <w:bCs/>
        </w:rPr>
        <w:t xml:space="preserve"> </w:t>
      </w:r>
      <w:proofErr w:type="spellStart"/>
      <w:r>
        <w:rPr>
          <w:rFonts w:ascii="Calibri" w:hAnsi="Calibri" w:cs="Calibri"/>
          <w:b/>
          <w:bCs/>
        </w:rPr>
        <w:t>Ter</w:t>
      </w:r>
      <w:proofErr w:type="spellEnd"/>
    </w:p>
    <w:p w:rsidR="00D33466" w:rsidRDefault="00D33466" w:rsidP="00D33466">
      <w:pPr>
        <w:spacing w:line="254" w:lineRule="auto"/>
        <w:rPr>
          <w:rFonts w:ascii="Calibri" w:hAnsi="Calibri" w:cs="Calibri"/>
        </w:rPr>
      </w:pPr>
      <w:r>
        <w:rPr>
          <w:rFonts w:ascii="Calibri" w:hAnsi="Calibri" w:cs="Calibri"/>
        </w:rPr>
        <w:t> </w:t>
      </w:r>
    </w:p>
    <w:p w:rsidR="00D33466" w:rsidRDefault="00D33466" w:rsidP="00D33466">
      <w:pPr>
        <w:spacing w:line="254" w:lineRule="auto"/>
        <w:rPr>
          <w:rFonts w:ascii="Calibri" w:hAnsi="Calibri" w:cs="Calibri"/>
          <w:b/>
          <w:bCs/>
        </w:rPr>
      </w:pPr>
      <w:r>
        <w:rPr>
          <w:rFonts w:ascii="Calibri" w:hAnsi="Calibri" w:cs="Calibri"/>
          <w:b/>
          <w:bCs/>
        </w:rPr>
        <w:t>Training grade/post: ST4</w:t>
      </w:r>
    </w:p>
    <w:p w:rsidR="00D33466" w:rsidRDefault="00D33466" w:rsidP="00D33466">
      <w:pPr>
        <w:spacing w:line="254" w:lineRule="auto"/>
        <w:rPr>
          <w:rFonts w:ascii="Calibri" w:hAnsi="Calibri" w:cs="Calibri"/>
          <w:b/>
          <w:bCs/>
        </w:rPr>
      </w:pPr>
      <w:r>
        <w:rPr>
          <w:rFonts w:ascii="Calibri" w:hAnsi="Calibri" w:cs="Calibri"/>
          <w:b/>
          <w:bCs/>
        </w:rPr>
        <w:t>Institution: James Cook University Hospital</w:t>
      </w:r>
    </w:p>
    <w:p w:rsidR="00D33466" w:rsidRDefault="00D33466" w:rsidP="00D33466">
      <w:pPr>
        <w:spacing w:line="254" w:lineRule="auto"/>
        <w:rPr>
          <w:rFonts w:ascii="Calibri" w:hAnsi="Calibri" w:cs="Calibri"/>
        </w:rPr>
      </w:pPr>
      <w:r>
        <w:rPr>
          <w:rFonts w:ascii="Calibri" w:hAnsi="Calibri" w:cs="Calibri"/>
        </w:rPr>
        <w:t> </w:t>
      </w:r>
    </w:p>
    <w:p w:rsidR="00D33466" w:rsidRDefault="00D33466" w:rsidP="00D33466">
      <w:pPr>
        <w:spacing w:line="254" w:lineRule="auto"/>
        <w:rPr>
          <w:rFonts w:ascii="Calibri" w:hAnsi="Calibri" w:cs="Calibri"/>
          <w:b/>
          <w:bCs/>
        </w:rPr>
      </w:pPr>
      <w:r>
        <w:rPr>
          <w:rFonts w:ascii="Calibri" w:hAnsi="Calibri" w:cs="Calibri"/>
          <w:b/>
          <w:bCs/>
        </w:rPr>
        <w:t xml:space="preserve">Title of Presentation: </w:t>
      </w:r>
      <w:proofErr w:type="spellStart"/>
      <w:r>
        <w:rPr>
          <w:rFonts w:ascii="Calibri" w:hAnsi="Calibri" w:cs="Calibri"/>
          <w:b/>
          <w:bCs/>
        </w:rPr>
        <w:t>OverPROMISe</w:t>
      </w:r>
      <w:proofErr w:type="spellEnd"/>
      <w:r>
        <w:rPr>
          <w:rFonts w:ascii="Calibri" w:hAnsi="Calibri" w:cs="Calibri"/>
          <w:b/>
          <w:bCs/>
        </w:rPr>
        <w:t xml:space="preserve"> and </w:t>
      </w:r>
      <w:proofErr w:type="spellStart"/>
      <w:r>
        <w:rPr>
          <w:rFonts w:ascii="Calibri" w:hAnsi="Calibri" w:cs="Calibri"/>
          <w:b/>
          <w:bCs/>
        </w:rPr>
        <w:t>underdeliver</w:t>
      </w:r>
      <w:proofErr w:type="spellEnd"/>
      <w:r>
        <w:rPr>
          <w:rFonts w:ascii="Calibri" w:hAnsi="Calibri" w:cs="Calibri"/>
          <w:b/>
          <w:bCs/>
        </w:rPr>
        <w:t>?”; PIRADs-biopsy correlation: A local tertiary centre study</w:t>
      </w:r>
    </w:p>
    <w:p w:rsidR="00D33466" w:rsidRDefault="00D33466" w:rsidP="00D33466">
      <w:pPr>
        <w:spacing w:line="254" w:lineRule="auto"/>
        <w:rPr>
          <w:rFonts w:ascii="Calibri" w:hAnsi="Calibri" w:cs="Calibri"/>
          <w:b/>
          <w:bCs/>
        </w:rPr>
      </w:pPr>
      <w:r>
        <w:rPr>
          <w:rFonts w:ascii="Calibri" w:hAnsi="Calibri" w:cs="Calibri"/>
          <w:b/>
          <w:bCs/>
        </w:rPr>
        <w:t>Authors: Eunice</w:t>
      </w:r>
      <w:r>
        <w:rPr>
          <w:rFonts w:ascii="Calibri" w:hAnsi="Calibri" w:cs="Calibri"/>
          <w:b/>
          <w:bCs/>
          <w:color w:val="000000"/>
        </w:rPr>
        <w:t xml:space="preserve"> </w:t>
      </w:r>
      <w:proofErr w:type="spellStart"/>
      <w:r>
        <w:rPr>
          <w:rFonts w:ascii="Calibri" w:hAnsi="Calibri" w:cs="Calibri"/>
          <w:b/>
          <w:bCs/>
          <w:color w:val="000000"/>
        </w:rPr>
        <w:t>Ter</w:t>
      </w:r>
      <w:proofErr w:type="spellEnd"/>
      <w:r>
        <w:rPr>
          <w:rFonts w:ascii="Calibri" w:hAnsi="Calibri" w:cs="Calibri"/>
          <w:b/>
          <w:bCs/>
        </w:rPr>
        <w:t xml:space="preserve"> </w:t>
      </w:r>
      <w:proofErr w:type="spellStart"/>
      <w:r>
        <w:rPr>
          <w:rFonts w:ascii="Calibri" w:hAnsi="Calibri" w:cs="Calibri"/>
          <w:b/>
          <w:bCs/>
        </w:rPr>
        <w:t>Zuling</w:t>
      </w:r>
      <w:proofErr w:type="spellEnd"/>
      <w:r>
        <w:rPr>
          <w:rFonts w:ascii="Calibri" w:hAnsi="Calibri" w:cs="Calibri"/>
          <w:b/>
          <w:bCs/>
        </w:rPr>
        <w:t xml:space="preserve">, </w:t>
      </w:r>
      <w:proofErr w:type="spellStart"/>
      <w:r>
        <w:rPr>
          <w:rFonts w:ascii="Calibri" w:hAnsi="Calibri" w:cs="Calibri"/>
          <w:b/>
          <w:bCs/>
        </w:rPr>
        <w:t>Hariprasad</w:t>
      </w:r>
      <w:proofErr w:type="spellEnd"/>
      <w:r>
        <w:rPr>
          <w:rFonts w:ascii="Calibri" w:hAnsi="Calibri" w:cs="Calibri"/>
          <w:b/>
          <w:bCs/>
        </w:rPr>
        <w:t xml:space="preserve"> </w:t>
      </w:r>
      <w:proofErr w:type="spellStart"/>
      <w:r>
        <w:rPr>
          <w:rFonts w:ascii="Calibri" w:hAnsi="Calibri" w:cs="Calibri"/>
          <w:b/>
          <w:bCs/>
        </w:rPr>
        <w:t>Ganesan</w:t>
      </w:r>
      <w:proofErr w:type="spellEnd"/>
      <w:r>
        <w:rPr>
          <w:rFonts w:ascii="Calibri" w:hAnsi="Calibri" w:cs="Calibri"/>
          <w:b/>
          <w:bCs/>
        </w:rPr>
        <w:t>, Tom O’Hare</w:t>
      </w:r>
    </w:p>
    <w:p w:rsidR="00D33466" w:rsidRDefault="00D33466" w:rsidP="00D33466">
      <w:pPr>
        <w:spacing w:line="254" w:lineRule="auto"/>
        <w:rPr>
          <w:rFonts w:ascii="Calibri" w:hAnsi="Calibri" w:cs="Calibri"/>
        </w:rPr>
      </w:pPr>
      <w:r>
        <w:rPr>
          <w:rFonts w:ascii="Calibri" w:hAnsi="Calibri" w:cs="Calibri"/>
        </w:rPr>
        <w:t> </w:t>
      </w:r>
    </w:p>
    <w:p w:rsidR="00D33466" w:rsidRDefault="00D33466" w:rsidP="00D33466">
      <w:pPr>
        <w:spacing w:line="254" w:lineRule="auto"/>
        <w:rPr>
          <w:rFonts w:ascii="Calibri" w:hAnsi="Calibri" w:cs="Calibri"/>
        </w:rPr>
      </w:pPr>
      <w:r>
        <w:rPr>
          <w:rFonts w:ascii="Calibri" w:hAnsi="Calibri" w:cs="Calibri"/>
        </w:rPr>
        <w:t> </w:t>
      </w:r>
    </w:p>
    <w:p w:rsidR="00D33466" w:rsidRDefault="00D33466" w:rsidP="00D33466">
      <w:pPr>
        <w:spacing w:line="254" w:lineRule="auto"/>
        <w:rPr>
          <w:rFonts w:ascii="Calibri" w:hAnsi="Calibri" w:cs="Calibri"/>
          <w:b/>
          <w:bCs/>
          <w:color w:val="000000"/>
        </w:rPr>
      </w:pPr>
      <w:r>
        <w:rPr>
          <w:rFonts w:ascii="Calibri" w:hAnsi="Calibri" w:cs="Calibri"/>
          <w:b/>
          <w:bCs/>
          <w:color w:val="000000"/>
        </w:rPr>
        <w:t xml:space="preserve">Aims: To assess the quality of MRI prostate reporting by correlation with </w:t>
      </w:r>
      <w:proofErr w:type="spellStart"/>
      <w:r>
        <w:rPr>
          <w:rFonts w:ascii="Calibri" w:hAnsi="Calibri" w:cs="Calibri"/>
          <w:b/>
          <w:bCs/>
          <w:color w:val="000000"/>
        </w:rPr>
        <w:t>transperineal</w:t>
      </w:r>
      <w:proofErr w:type="spellEnd"/>
      <w:r>
        <w:rPr>
          <w:rFonts w:ascii="Calibri" w:hAnsi="Calibri" w:cs="Calibri"/>
          <w:b/>
          <w:bCs/>
          <w:color w:val="000000"/>
        </w:rPr>
        <w:t xml:space="preserve"> biopsy of prostate (</w:t>
      </w:r>
      <w:proofErr w:type="spellStart"/>
      <w:r>
        <w:rPr>
          <w:rFonts w:ascii="Calibri" w:hAnsi="Calibri" w:cs="Calibri"/>
          <w:b/>
          <w:bCs/>
          <w:color w:val="000000"/>
        </w:rPr>
        <w:t>TPBx</w:t>
      </w:r>
      <w:proofErr w:type="spellEnd"/>
      <w:r>
        <w:rPr>
          <w:rFonts w:ascii="Calibri" w:hAnsi="Calibri" w:cs="Calibri"/>
          <w:b/>
          <w:bCs/>
          <w:color w:val="000000"/>
        </w:rPr>
        <w:t>) results</w:t>
      </w:r>
    </w:p>
    <w:p w:rsidR="00D33466" w:rsidRDefault="00D33466" w:rsidP="00D33466">
      <w:pPr>
        <w:spacing w:line="254" w:lineRule="auto"/>
        <w:rPr>
          <w:rFonts w:ascii="Calibri" w:hAnsi="Calibri" w:cs="Calibri"/>
          <w:b/>
          <w:bCs/>
          <w:color w:val="000000"/>
        </w:rPr>
      </w:pPr>
      <w:r>
        <w:rPr>
          <w:rFonts w:ascii="Calibri" w:hAnsi="Calibri" w:cs="Calibri"/>
          <w:b/>
          <w:bCs/>
          <w:color w:val="000000"/>
        </w:rPr>
        <w:t xml:space="preserve">Methods:  Retrospective study of all </w:t>
      </w:r>
      <w:proofErr w:type="spellStart"/>
      <w:r>
        <w:rPr>
          <w:rFonts w:ascii="Calibri" w:hAnsi="Calibri" w:cs="Calibri"/>
          <w:b/>
          <w:bCs/>
          <w:color w:val="000000"/>
        </w:rPr>
        <w:t>TPBx</w:t>
      </w:r>
      <w:proofErr w:type="spellEnd"/>
      <w:r>
        <w:rPr>
          <w:rFonts w:ascii="Calibri" w:hAnsi="Calibri" w:cs="Calibri"/>
          <w:b/>
          <w:bCs/>
          <w:color w:val="000000"/>
        </w:rPr>
        <w:t xml:space="preserve"> from September 2022 to September 2023. Patients who had incomplete data were excluded. Age, PSA value, PSA density (PSAD), PIRADS score and grade group from </w:t>
      </w:r>
      <w:proofErr w:type="spellStart"/>
      <w:r>
        <w:rPr>
          <w:rFonts w:ascii="Calibri" w:hAnsi="Calibri" w:cs="Calibri"/>
          <w:b/>
          <w:bCs/>
          <w:color w:val="000000"/>
        </w:rPr>
        <w:t>TPBx</w:t>
      </w:r>
      <w:proofErr w:type="spellEnd"/>
      <w:r>
        <w:rPr>
          <w:rFonts w:ascii="Calibri" w:hAnsi="Calibri" w:cs="Calibri"/>
          <w:b/>
          <w:bCs/>
          <w:color w:val="000000"/>
        </w:rPr>
        <w:t xml:space="preserve"> were collected. The percentage of clinically significant cancer, stratified by age and PIRADS scores was </w:t>
      </w:r>
      <w:proofErr w:type="spellStart"/>
      <w:r>
        <w:rPr>
          <w:rFonts w:ascii="Calibri" w:hAnsi="Calibri" w:cs="Calibri"/>
          <w:b/>
          <w:bCs/>
          <w:color w:val="000000"/>
        </w:rPr>
        <w:t>analyzed</w:t>
      </w:r>
      <w:proofErr w:type="spellEnd"/>
    </w:p>
    <w:p w:rsidR="00D33466" w:rsidRDefault="00D33466" w:rsidP="00D33466">
      <w:pPr>
        <w:spacing w:line="254" w:lineRule="auto"/>
        <w:rPr>
          <w:rFonts w:ascii="Calibri" w:hAnsi="Calibri" w:cs="Calibri"/>
          <w:b/>
          <w:bCs/>
          <w:color w:val="000000"/>
        </w:rPr>
      </w:pPr>
      <w:r>
        <w:rPr>
          <w:rFonts w:ascii="Calibri" w:hAnsi="Calibri" w:cs="Calibri"/>
          <w:b/>
          <w:bCs/>
          <w:color w:val="000000"/>
        </w:rPr>
        <w:t xml:space="preserve">Results: 913 patients were included in the study. Detection rates for clinically significant cancer (&gt;=GG2) were 6%, 27%, 16%, 39% and 81% for PIRADS 1-5 respectively. Diagnostic rates for GG1 cancers were 6%, 11.5% 24%, 25% and 9.4%. For PIRADs 3 the rates of &gt;=GG2 were doubled for PSAD of ≥0.15 (25.5%) when compared with PSAD&lt;0.15 (12.5%). </w:t>
      </w:r>
    </w:p>
    <w:p w:rsidR="00D33466" w:rsidRDefault="00D33466" w:rsidP="00D33466">
      <w:pPr>
        <w:spacing w:line="254" w:lineRule="auto"/>
        <w:rPr>
          <w:rFonts w:ascii="Calibri" w:hAnsi="Calibri" w:cs="Calibri"/>
          <w:b/>
          <w:bCs/>
          <w:color w:val="000000"/>
        </w:rPr>
      </w:pPr>
      <w:r>
        <w:rPr>
          <w:rFonts w:ascii="Calibri" w:hAnsi="Calibri" w:cs="Calibri"/>
          <w:b/>
          <w:bCs/>
          <w:color w:val="000000"/>
        </w:rPr>
        <w:t xml:space="preserve">Conclusion: Our first point is the low pick up of clinically significant cancer for PI-RAD 3 lesions; in fact, we are diagnosing more GG1 cancer than clinically significantly lesions (24% versus 16%).  While the data has not been fully presented here; the introduction of MRI has not led to the very large reduction in number of biopsies being performed that would have been expected, rather we are still diagnosing large numbers of GG1 prostate cancer.  This has huge implications for our patients and for the trust in general.  We feel it would be very helpful to compare our data with similar data from other trusts in the region. </w:t>
      </w:r>
    </w:p>
    <w:p w:rsidR="00D33466" w:rsidRDefault="00D33466" w:rsidP="00D33466"/>
    <w:p w:rsidR="00D33466" w:rsidRDefault="00D33466" w:rsidP="00D33466"/>
    <w:p w:rsidR="00D33466" w:rsidRDefault="00D33466" w:rsidP="00D33466"/>
    <w:p w:rsidR="00D33466" w:rsidRDefault="00D33466" w:rsidP="00D33466"/>
    <w:p w:rsidR="00D33466" w:rsidRDefault="00D33466" w:rsidP="00D33466"/>
    <w:p w:rsidR="00D33466" w:rsidRDefault="00D33466" w:rsidP="00D334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8"/>
        <w:gridCol w:w="3528"/>
      </w:tblGrid>
      <w:tr w:rsidR="00D33466" w:rsidTr="00D33466">
        <w:tc>
          <w:tcPr>
            <w:tcW w:w="5637" w:type="dxa"/>
            <w:tcBorders>
              <w:top w:val="single" w:sz="4" w:space="0" w:color="auto"/>
              <w:left w:val="single" w:sz="4" w:space="0" w:color="auto"/>
              <w:bottom w:val="single" w:sz="4" w:space="0" w:color="auto"/>
              <w:right w:val="single" w:sz="4" w:space="0" w:color="auto"/>
            </w:tcBorders>
          </w:tcPr>
          <w:p w:rsidR="00D33466" w:rsidRPr="00CF40DA" w:rsidRDefault="00D33466" w:rsidP="00D33466">
            <w:pPr>
              <w:spacing w:after="0" w:line="240" w:lineRule="auto"/>
            </w:pPr>
            <w:r>
              <w:rPr>
                <w:b/>
              </w:rPr>
              <w:t>Name of Presenter</w:t>
            </w:r>
            <w:r>
              <w:t>: Eleanor Whyte</w:t>
            </w:r>
          </w:p>
        </w:tc>
        <w:tc>
          <w:tcPr>
            <w:tcW w:w="3605" w:type="dxa"/>
            <w:tcBorders>
              <w:top w:val="single" w:sz="4" w:space="0" w:color="auto"/>
              <w:left w:val="single" w:sz="4" w:space="0" w:color="auto"/>
              <w:bottom w:val="single" w:sz="4" w:space="0" w:color="auto"/>
              <w:right w:val="single" w:sz="4" w:space="0" w:color="auto"/>
            </w:tcBorders>
            <w:hideMark/>
          </w:tcPr>
          <w:p w:rsidR="00D33466" w:rsidRDefault="00D33466" w:rsidP="00D33466">
            <w:pPr>
              <w:spacing w:after="0" w:line="240" w:lineRule="auto"/>
              <w:rPr>
                <w:rFonts w:cs="Times New Roman"/>
              </w:rPr>
            </w:pPr>
            <w:r>
              <w:rPr>
                <w:b/>
              </w:rPr>
              <w:t>Training grade/post</w:t>
            </w:r>
            <w:r>
              <w:t>: ST5</w:t>
            </w:r>
          </w:p>
        </w:tc>
      </w:tr>
      <w:tr w:rsidR="00D33466" w:rsidTr="00D33466">
        <w:tc>
          <w:tcPr>
            <w:tcW w:w="9242" w:type="dxa"/>
            <w:gridSpan w:val="2"/>
            <w:tcBorders>
              <w:top w:val="single" w:sz="4" w:space="0" w:color="auto"/>
              <w:left w:val="single" w:sz="4" w:space="0" w:color="auto"/>
              <w:bottom w:val="single" w:sz="4" w:space="0" w:color="auto"/>
              <w:right w:val="single" w:sz="4" w:space="0" w:color="auto"/>
            </w:tcBorders>
          </w:tcPr>
          <w:p w:rsidR="00D33466" w:rsidRPr="00CF40DA" w:rsidRDefault="00D33466" w:rsidP="00D33466">
            <w:pPr>
              <w:spacing w:after="0" w:line="240" w:lineRule="auto"/>
            </w:pPr>
            <w:r>
              <w:rPr>
                <w:b/>
              </w:rPr>
              <w:t>Institution</w:t>
            </w:r>
            <w:r>
              <w:t>: Department of Urology, Freeman Hospital</w:t>
            </w:r>
          </w:p>
        </w:tc>
      </w:tr>
      <w:tr w:rsidR="00D33466" w:rsidTr="00D33466">
        <w:tc>
          <w:tcPr>
            <w:tcW w:w="9242" w:type="dxa"/>
            <w:gridSpan w:val="2"/>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pPr>
            <w:r>
              <w:rPr>
                <w:b/>
              </w:rPr>
              <w:t>Title of Presentation</w:t>
            </w:r>
            <w:r>
              <w:t xml:space="preserve">: </w:t>
            </w:r>
          </w:p>
          <w:p w:rsidR="00D33466" w:rsidRPr="00CF40DA" w:rsidRDefault="00D33466" w:rsidP="00D33466">
            <w:pPr>
              <w:spacing w:after="0" w:line="240" w:lineRule="auto"/>
            </w:pPr>
            <w:r>
              <w:t>Sacral Neuromodulation at the Freeman Hospital 2017 -2024: a retrospective data analysis</w:t>
            </w:r>
          </w:p>
        </w:tc>
      </w:tr>
      <w:tr w:rsidR="00D33466" w:rsidTr="00D33466">
        <w:tc>
          <w:tcPr>
            <w:tcW w:w="9242" w:type="dxa"/>
            <w:gridSpan w:val="2"/>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pPr>
            <w:r>
              <w:rPr>
                <w:b/>
              </w:rPr>
              <w:t>Authors</w:t>
            </w:r>
            <w:r>
              <w:t>:</w:t>
            </w:r>
          </w:p>
          <w:p w:rsidR="00D33466" w:rsidRPr="00CF40DA" w:rsidRDefault="00D33466" w:rsidP="00D33466">
            <w:pPr>
              <w:spacing w:after="0" w:line="240" w:lineRule="auto"/>
            </w:pPr>
            <w:r>
              <w:t>Eleanor Whyte, Neehar Shetty, Victoria Lavin</w:t>
            </w:r>
          </w:p>
        </w:tc>
      </w:tr>
      <w:tr w:rsidR="00D33466" w:rsidTr="00D3346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spacing w:after="0" w:line="240" w:lineRule="auto"/>
            </w:pPr>
            <w:r>
              <w:rPr>
                <w:b/>
              </w:rPr>
              <w:t>Aims</w:t>
            </w:r>
            <w:r>
              <w:t>:</w:t>
            </w:r>
          </w:p>
          <w:p w:rsidR="00D33466" w:rsidRPr="004243EF" w:rsidRDefault="00D33466" w:rsidP="00D33466">
            <w:pPr>
              <w:spacing w:after="0" w:line="240" w:lineRule="auto"/>
            </w:pPr>
            <w:r>
              <w:t xml:space="preserve">This study aimed to retrospectively analyse peripheral nerve evaluation (PNE) and Sacral Neuromodulation (SNS) data at the Freeman Hospital between 2017-2024. </w:t>
            </w:r>
          </w:p>
        </w:tc>
      </w:tr>
      <w:tr w:rsidR="00D33466" w:rsidTr="00D3346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spacing w:after="0" w:line="240" w:lineRule="auto"/>
            </w:pPr>
            <w:r>
              <w:rPr>
                <w:b/>
              </w:rPr>
              <w:t>Methods</w:t>
            </w:r>
            <w:r>
              <w:t>:</w:t>
            </w:r>
          </w:p>
          <w:p w:rsidR="00D33466" w:rsidRPr="00985013" w:rsidRDefault="00D33466" w:rsidP="00D33466">
            <w:pPr>
              <w:spacing w:after="0" w:line="240" w:lineRule="auto"/>
            </w:pPr>
            <w:r>
              <w:t>Electronic data were reviewed for patients who had undergone index neuromodulation procedures between 1/1/2017 and 30/6/2024 which included patient demographics and operation details. Descriptive statistics were calculated using SPSS.</w:t>
            </w:r>
          </w:p>
        </w:tc>
      </w:tr>
      <w:tr w:rsidR="00D33466" w:rsidTr="00D3346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spacing w:after="0" w:line="240" w:lineRule="auto"/>
            </w:pPr>
            <w:r>
              <w:rPr>
                <w:b/>
              </w:rPr>
              <w:t>Results</w:t>
            </w:r>
            <w:r>
              <w:t>:</w:t>
            </w:r>
          </w:p>
          <w:p w:rsidR="00D33466" w:rsidRPr="004243EF" w:rsidRDefault="00D33466" w:rsidP="00D33466">
            <w:pPr>
              <w:spacing w:after="0" w:line="240" w:lineRule="auto"/>
            </w:pPr>
            <w:r>
              <w:t xml:space="preserve">490 patients with a median age of 48 years underwent PNE. The average number of trials per patient was 1.67 and 241 (49%) were converted to permanent SNS implant. The median number of days between the final trial and SNS implant was 203. Fifty-seven patients (23.7%) had at least one change to their device with an average of 1.4 changes per person. The most common intervention was a lead replacement. There was an average of 666 days between SNS insertion and a device change. Twenty-five (10.4%) devices were explanted with an average of 560 days between insertion and </w:t>
            </w:r>
            <w:proofErr w:type="spellStart"/>
            <w:r>
              <w:t>explantation</w:t>
            </w:r>
            <w:proofErr w:type="spellEnd"/>
            <w:r>
              <w:t xml:space="preserve">. Four (16%) people who had their devices explanted had the device re-inserted with an average of 297 days until re-insertion. One person (25%) had their device re-explanted following re-insertion after 1410 days. </w:t>
            </w:r>
          </w:p>
        </w:tc>
      </w:tr>
      <w:tr w:rsidR="00D33466" w:rsidTr="00D3346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spacing w:after="0" w:line="240" w:lineRule="auto"/>
            </w:pPr>
            <w:r>
              <w:rPr>
                <w:b/>
              </w:rPr>
              <w:t>Conclusion</w:t>
            </w:r>
            <w:r>
              <w:t>:</w:t>
            </w:r>
          </w:p>
          <w:p w:rsidR="00D33466" w:rsidRDefault="00D33466" w:rsidP="00D33466">
            <w:pPr>
              <w:spacing w:after="0" w:line="240" w:lineRule="auto"/>
            </w:pPr>
            <w:r>
              <w:t>This study, which is the largest UK series to date, provides new insight into PNE and SNS services at the Freeman Hospital between 2017-2024. These data show conversion rates are lower than most published series could be due to reduction of the significant placebo effect from devices by the majority of patients having more than one trial. The findings can be used to help with patient counselling.</w:t>
            </w:r>
          </w:p>
          <w:p w:rsidR="00D33466" w:rsidRDefault="00D33466" w:rsidP="00D33466">
            <w:pPr>
              <w:spacing w:after="0" w:line="240" w:lineRule="auto"/>
              <w:rPr>
                <w:rFonts w:cs="Times New Roman"/>
              </w:rPr>
            </w:pPr>
          </w:p>
        </w:tc>
      </w:tr>
      <w:tr w:rsidR="00D33466" w:rsidTr="00D33466">
        <w:tc>
          <w:tcPr>
            <w:tcW w:w="9242" w:type="dxa"/>
            <w:gridSpan w:val="2"/>
            <w:tcBorders>
              <w:top w:val="single" w:sz="4" w:space="0" w:color="auto"/>
              <w:left w:val="single" w:sz="4" w:space="0" w:color="auto"/>
              <w:bottom w:val="single" w:sz="4" w:space="0" w:color="auto"/>
              <w:right w:val="single" w:sz="4" w:space="0" w:color="auto"/>
            </w:tcBorders>
            <w:shd w:val="clear" w:color="auto" w:fill="D9D9D9"/>
            <w:hideMark/>
          </w:tcPr>
          <w:p w:rsidR="00D33466" w:rsidRDefault="00D33466" w:rsidP="00D33466">
            <w:pPr>
              <w:spacing w:after="0" w:line="240" w:lineRule="auto"/>
              <w:rPr>
                <w:rFonts w:cs="Times New Roman"/>
                <w:sz w:val="28"/>
                <w:szCs w:val="28"/>
              </w:rPr>
            </w:pPr>
            <w:r>
              <w:rPr>
                <w:b/>
                <w:sz w:val="28"/>
                <w:szCs w:val="28"/>
              </w:rPr>
              <w:t>Total Word Count (max 250)</w:t>
            </w:r>
            <w:r>
              <w:rPr>
                <w:sz w:val="28"/>
                <w:szCs w:val="28"/>
              </w:rPr>
              <w:t>: 248</w:t>
            </w:r>
          </w:p>
        </w:tc>
      </w:tr>
    </w:tbl>
    <w:p w:rsidR="00D33466" w:rsidRDefault="00D33466" w:rsidP="00D33466"/>
    <w:p w:rsidR="00D33466" w:rsidRDefault="00D33466" w:rsidP="00D33466"/>
    <w:p w:rsidR="00D33466" w:rsidRDefault="00D33466" w:rsidP="00D33466"/>
    <w:p w:rsidR="00D33466" w:rsidRDefault="00D33466" w:rsidP="00D33466"/>
    <w:p w:rsidR="00D33466" w:rsidRDefault="00D33466" w:rsidP="00D33466"/>
    <w:p w:rsidR="00D33466" w:rsidRDefault="00D33466" w:rsidP="00D33466"/>
    <w:p w:rsidR="00EC2E3B" w:rsidRDefault="00EC2E3B" w:rsidP="00D33466"/>
    <w:p w:rsidR="00EC2E3B" w:rsidRDefault="00EC2E3B" w:rsidP="00D33466"/>
    <w:p w:rsidR="00D33466" w:rsidRDefault="00D33466" w:rsidP="00D33466"/>
    <w:tbl>
      <w:tblPr>
        <w:tblStyle w:val="TableGrid"/>
        <w:tblW w:w="9459" w:type="dxa"/>
        <w:tblLayout w:type="fixed"/>
        <w:tblLook w:val="06A0" w:firstRow="1" w:lastRow="0" w:firstColumn="1" w:lastColumn="0" w:noHBand="1" w:noVBand="1"/>
      </w:tblPr>
      <w:tblGrid>
        <w:gridCol w:w="6276"/>
        <w:gridCol w:w="3183"/>
      </w:tblGrid>
      <w:tr w:rsidR="00D33466" w:rsidTr="001A44C0">
        <w:trPr>
          <w:trHeight w:val="288"/>
        </w:trPr>
        <w:tc>
          <w:tcPr>
            <w:tcW w:w="6276" w:type="dxa"/>
          </w:tcPr>
          <w:p w:rsidR="00D33466" w:rsidRDefault="00D33466" w:rsidP="00D33466">
            <w:pPr>
              <w:rPr>
                <w:rFonts w:ascii="Calibri" w:eastAsia="Calibri" w:hAnsi="Calibri" w:cs="Calibri"/>
                <w:b/>
                <w:bCs/>
                <w:sz w:val="22"/>
                <w:szCs w:val="22"/>
              </w:rPr>
            </w:pPr>
            <w:r w:rsidRPr="5A480574">
              <w:rPr>
                <w:rFonts w:ascii="Calibri" w:eastAsia="Calibri" w:hAnsi="Calibri" w:cs="Calibri"/>
                <w:b/>
                <w:bCs/>
                <w:sz w:val="22"/>
                <w:szCs w:val="22"/>
              </w:rPr>
              <w:t>Name of Presenter:</w:t>
            </w:r>
          </w:p>
          <w:p w:rsidR="00D33466" w:rsidRDefault="00D33466" w:rsidP="00D33466">
            <w:pPr>
              <w:rPr>
                <w:rFonts w:ascii="Calibri" w:eastAsia="Calibri" w:hAnsi="Calibri" w:cs="Calibri"/>
                <w:sz w:val="22"/>
                <w:szCs w:val="22"/>
              </w:rPr>
            </w:pPr>
            <w:r w:rsidRPr="5A480574">
              <w:rPr>
                <w:rFonts w:ascii="Calibri" w:eastAsia="Calibri" w:hAnsi="Calibri" w:cs="Calibri"/>
                <w:sz w:val="22"/>
                <w:szCs w:val="22"/>
              </w:rPr>
              <w:t>Fraser Barbour</w:t>
            </w:r>
          </w:p>
        </w:tc>
        <w:tc>
          <w:tcPr>
            <w:tcW w:w="3183" w:type="dxa"/>
          </w:tcPr>
          <w:p w:rsidR="00D33466" w:rsidRDefault="00D33466" w:rsidP="00D33466">
            <w:pPr>
              <w:rPr>
                <w:rFonts w:ascii="Calibri" w:eastAsia="Calibri" w:hAnsi="Calibri" w:cs="Calibri"/>
                <w:b/>
                <w:bCs/>
                <w:sz w:val="22"/>
                <w:szCs w:val="22"/>
              </w:rPr>
            </w:pPr>
            <w:r w:rsidRPr="5A480574">
              <w:rPr>
                <w:rFonts w:ascii="Calibri" w:eastAsia="Calibri" w:hAnsi="Calibri" w:cs="Calibri"/>
                <w:b/>
                <w:bCs/>
                <w:sz w:val="22"/>
                <w:szCs w:val="22"/>
              </w:rPr>
              <w:t>Training grade/post:</w:t>
            </w:r>
          </w:p>
          <w:p w:rsidR="00D33466" w:rsidRDefault="00D33466" w:rsidP="00D33466">
            <w:pPr>
              <w:rPr>
                <w:rFonts w:ascii="Calibri" w:eastAsia="Calibri" w:hAnsi="Calibri" w:cs="Calibri"/>
                <w:sz w:val="22"/>
                <w:szCs w:val="22"/>
              </w:rPr>
            </w:pPr>
            <w:r w:rsidRPr="5A480574">
              <w:rPr>
                <w:rFonts w:ascii="Calibri" w:eastAsia="Calibri" w:hAnsi="Calibri" w:cs="Calibri"/>
                <w:sz w:val="22"/>
                <w:szCs w:val="22"/>
              </w:rPr>
              <w:t>SHO</w:t>
            </w:r>
          </w:p>
        </w:tc>
      </w:tr>
      <w:tr w:rsidR="00D33466" w:rsidTr="001A44C0">
        <w:trPr>
          <w:trHeight w:val="288"/>
        </w:trPr>
        <w:tc>
          <w:tcPr>
            <w:tcW w:w="9459" w:type="dxa"/>
            <w:gridSpan w:val="2"/>
          </w:tcPr>
          <w:p w:rsidR="00D33466" w:rsidRDefault="00D33466" w:rsidP="00D33466">
            <w:pPr>
              <w:rPr>
                <w:rFonts w:ascii="Calibri" w:eastAsia="Calibri" w:hAnsi="Calibri" w:cs="Calibri"/>
                <w:b/>
                <w:bCs/>
                <w:sz w:val="22"/>
                <w:szCs w:val="22"/>
              </w:rPr>
            </w:pPr>
            <w:r w:rsidRPr="5A480574">
              <w:rPr>
                <w:rFonts w:ascii="Calibri" w:eastAsia="Calibri" w:hAnsi="Calibri" w:cs="Calibri"/>
                <w:b/>
                <w:bCs/>
                <w:sz w:val="22"/>
                <w:szCs w:val="22"/>
              </w:rPr>
              <w:t>Institution:</w:t>
            </w:r>
          </w:p>
          <w:p w:rsidR="00D33466" w:rsidRDefault="00D33466" w:rsidP="00D33466">
            <w:pPr>
              <w:rPr>
                <w:rFonts w:ascii="Calibri" w:eastAsia="Calibri" w:hAnsi="Calibri" w:cs="Calibri"/>
                <w:sz w:val="22"/>
                <w:szCs w:val="22"/>
              </w:rPr>
            </w:pPr>
            <w:r w:rsidRPr="5A480574">
              <w:rPr>
                <w:rFonts w:ascii="Calibri" w:eastAsia="Calibri" w:hAnsi="Calibri" w:cs="Calibri"/>
                <w:sz w:val="22"/>
                <w:szCs w:val="22"/>
              </w:rPr>
              <w:t>James Cook University Hospital, Middlesborough</w:t>
            </w:r>
          </w:p>
        </w:tc>
      </w:tr>
      <w:tr w:rsidR="00D33466" w:rsidTr="001A44C0">
        <w:trPr>
          <w:trHeight w:val="288"/>
        </w:trPr>
        <w:tc>
          <w:tcPr>
            <w:tcW w:w="9459" w:type="dxa"/>
            <w:gridSpan w:val="2"/>
          </w:tcPr>
          <w:p w:rsidR="00D33466" w:rsidRPr="001A44C0" w:rsidRDefault="00D33466" w:rsidP="00D33466">
            <w:pPr>
              <w:rPr>
                <w:rFonts w:ascii="Calibri" w:eastAsia="Calibri" w:hAnsi="Calibri" w:cs="Calibri"/>
                <w:b/>
                <w:bCs/>
                <w:sz w:val="22"/>
                <w:szCs w:val="22"/>
              </w:rPr>
            </w:pPr>
            <w:r w:rsidRPr="5A480574">
              <w:rPr>
                <w:rFonts w:ascii="Calibri" w:eastAsia="Calibri" w:hAnsi="Calibri" w:cs="Calibri"/>
                <w:b/>
                <w:bCs/>
                <w:sz w:val="22"/>
                <w:szCs w:val="22"/>
              </w:rPr>
              <w:t xml:space="preserve">Title of </w:t>
            </w:r>
            <w:proofErr w:type="spellStart"/>
            <w:r w:rsidRPr="5A480574">
              <w:rPr>
                <w:rFonts w:ascii="Calibri" w:eastAsia="Calibri" w:hAnsi="Calibri" w:cs="Calibri"/>
                <w:b/>
                <w:bCs/>
                <w:sz w:val="22"/>
                <w:szCs w:val="22"/>
              </w:rPr>
              <w:t>Presentation:</w:t>
            </w:r>
            <w:r w:rsidRPr="1C557F03">
              <w:rPr>
                <w:rFonts w:ascii="Calibri" w:eastAsia="Calibri" w:hAnsi="Calibri" w:cs="Calibri"/>
                <w:sz w:val="22"/>
                <w:szCs w:val="22"/>
              </w:rPr>
              <w:t>The</w:t>
            </w:r>
            <w:proofErr w:type="spellEnd"/>
            <w:r w:rsidRPr="1C557F03">
              <w:rPr>
                <w:rFonts w:ascii="Calibri" w:eastAsia="Calibri" w:hAnsi="Calibri" w:cs="Calibri"/>
                <w:sz w:val="22"/>
                <w:szCs w:val="22"/>
              </w:rPr>
              <w:t xml:space="preserve"> Surgical Management of Acute Ureteric Obstruction at a Single Centre</w:t>
            </w:r>
          </w:p>
        </w:tc>
      </w:tr>
      <w:tr w:rsidR="00D33466" w:rsidTr="001A44C0">
        <w:trPr>
          <w:trHeight w:val="288"/>
        </w:trPr>
        <w:tc>
          <w:tcPr>
            <w:tcW w:w="9459" w:type="dxa"/>
            <w:gridSpan w:val="2"/>
          </w:tcPr>
          <w:p w:rsidR="00D33466" w:rsidRDefault="00D33466" w:rsidP="00D33466">
            <w:pPr>
              <w:rPr>
                <w:rFonts w:ascii="Calibri" w:eastAsia="Calibri" w:hAnsi="Calibri" w:cs="Calibri"/>
                <w:b/>
                <w:bCs/>
                <w:sz w:val="22"/>
                <w:szCs w:val="22"/>
              </w:rPr>
            </w:pPr>
            <w:r w:rsidRPr="5A480574">
              <w:rPr>
                <w:rFonts w:ascii="Calibri" w:eastAsia="Calibri" w:hAnsi="Calibri" w:cs="Calibri"/>
                <w:b/>
                <w:bCs/>
                <w:sz w:val="22"/>
                <w:szCs w:val="22"/>
              </w:rPr>
              <w:t>Authors:</w:t>
            </w:r>
          </w:p>
          <w:p w:rsidR="00D33466" w:rsidRPr="001A44C0" w:rsidRDefault="00D33466" w:rsidP="00D33466">
            <w:pPr>
              <w:rPr>
                <w:rFonts w:ascii="Calibri" w:eastAsia="Calibri" w:hAnsi="Calibri" w:cs="Calibri"/>
                <w:color w:val="000000" w:themeColor="text1"/>
                <w:sz w:val="22"/>
                <w:szCs w:val="22"/>
              </w:rPr>
            </w:pPr>
            <w:r w:rsidRPr="5A480574">
              <w:rPr>
                <w:rFonts w:ascii="Calibri" w:eastAsia="Calibri" w:hAnsi="Calibri" w:cs="Calibri"/>
                <w:color w:val="000000" w:themeColor="text1"/>
                <w:sz w:val="22"/>
                <w:szCs w:val="22"/>
              </w:rPr>
              <w:t xml:space="preserve">Fraser Barbour, </w:t>
            </w:r>
            <w:proofErr w:type="spellStart"/>
            <w:r w:rsidRPr="5A480574">
              <w:rPr>
                <w:rFonts w:ascii="Calibri" w:eastAsia="Calibri" w:hAnsi="Calibri" w:cs="Calibri"/>
                <w:color w:val="000000" w:themeColor="text1"/>
                <w:sz w:val="22"/>
                <w:szCs w:val="22"/>
              </w:rPr>
              <w:t>Yara</w:t>
            </w:r>
            <w:proofErr w:type="spellEnd"/>
            <w:r w:rsidRPr="5A480574">
              <w:rPr>
                <w:rFonts w:ascii="Calibri" w:eastAsia="Calibri" w:hAnsi="Calibri" w:cs="Calibri"/>
                <w:color w:val="000000" w:themeColor="text1"/>
                <w:sz w:val="22"/>
                <w:szCs w:val="22"/>
              </w:rPr>
              <w:t xml:space="preserve"> </w:t>
            </w:r>
            <w:proofErr w:type="spellStart"/>
            <w:r w:rsidRPr="5A480574">
              <w:rPr>
                <w:rFonts w:ascii="Calibri" w:eastAsia="Calibri" w:hAnsi="Calibri" w:cs="Calibri"/>
                <w:color w:val="000000" w:themeColor="text1"/>
                <w:sz w:val="22"/>
                <w:szCs w:val="22"/>
              </w:rPr>
              <w:t>Mohamedahmed</w:t>
            </w:r>
            <w:proofErr w:type="spellEnd"/>
            <w:r w:rsidRPr="5A480574">
              <w:rPr>
                <w:rFonts w:ascii="Calibri" w:eastAsia="Calibri" w:hAnsi="Calibri" w:cs="Calibri"/>
                <w:color w:val="000000" w:themeColor="text1"/>
                <w:sz w:val="22"/>
                <w:szCs w:val="22"/>
              </w:rPr>
              <w:t>, Niall Gilliland, James Roe, Alaiyi West, Mehwash Nadeem</w:t>
            </w:r>
          </w:p>
        </w:tc>
      </w:tr>
      <w:tr w:rsidR="00D33466" w:rsidTr="001A44C0">
        <w:trPr>
          <w:trHeight w:val="288"/>
        </w:trPr>
        <w:tc>
          <w:tcPr>
            <w:tcW w:w="9459" w:type="dxa"/>
            <w:gridSpan w:val="2"/>
            <w:shd w:val="clear" w:color="auto" w:fill="D0CECE" w:themeFill="background2" w:themeFillShade="E6"/>
          </w:tcPr>
          <w:p w:rsidR="00D33466" w:rsidRDefault="00D33466" w:rsidP="00D33466">
            <w:pPr>
              <w:rPr>
                <w:rFonts w:ascii="Calibri" w:eastAsia="Calibri" w:hAnsi="Calibri" w:cs="Calibri"/>
                <w:b/>
                <w:bCs/>
                <w:sz w:val="22"/>
                <w:szCs w:val="22"/>
              </w:rPr>
            </w:pPr>
            <w:r w:rsidRPr="5A480574">
              <w:rPr>
                <w:rFonts w:ascii="Calibri" w:eastAsia="Calibri" w:hAnsi="Calibri" w:cs="Calibri"/>
                <w:b/>
                <w:bCs/>
                <w:sz w:val="22"/>
                <w:szCs w:val="22"/>
              </w:rPr>
              <w:t>Aims:</w:t>
            </w:r>
          </w:p>
          <w:p w:rsidR="00D33466" w:rsidRDefault="00D33466" w:rsidP="00D33466">
            <w:pPr>
              <w:rPr>
                <w:rFonts w:ascii="Calibri" w:eastAsia="Calibri" w:hAnsi="Calibri" w:cs="Calibri"/>
                <w:color w:val="000000" w:themeColor="text1"/>
                <w:sz w:val="22"/>
                <w:szCs w:val="22"/>
                <w:lang w:val="en-GB"/>
              </w:rPr>
            </w:pPr>
            <w:r w:rsidRPr="5A480574">
              <w:rPr>
                <w:rFonts w:ascii="Calibri" w:eastAsia="Calibri" w:hAnsi="Calibri" w:cs="Calibri"/>
                <w:color w:val="000000" w:themeColor="text1"/>
                <w:sz w:val="22"/>
                <w:szCs w:val="22"/>
                <w:lang w:val="en-GB"/>
              </w:rPr>
              <w:t>GIRFT and NICE have clear guidelines for the management of acute urinary stones. It is often perceived that at our centre there is a delay to intervention of patients with acute renal colic, which can lead to adverse outcomes and sub-optimal treatment. This study aims to compare the management of patients with acute ureteric obstruction requiring intervention at our centre against national guidelines.</w:t>
            </w:r>
          </w:p>
        </w:tc>
      </w:tr>
      <w:tr w:rsidR="00D33466" w:rsidTr="001A44C0">
        <w:trPr>
          <w:trHeight w:val="288"/>
        </w:trPr>
        <w:tc>
          <w:tcPr>
            <w:tcW w:w="9459" w:type="dxa"/>
            <w:gridSpan w:val="2"/>
            <w:shd w:val="clear" w:color="auto" w:fill="D0CECE" w:themeFill="background2" w:themeFillShade="E6"/>
          </w:tcPr>
          <w:p w:rsidR="00D33466" w:rsidRDefault="00D33466" w:rsidP="00D33466">
            <w:pPr>
              <w:rPr>
                <w:rFonts w:ascii="Calibri" w:eastAsia="Calibri" w:hAnsi="Calibri" w:cs="Calibri"/>
                <w:b/>
                <w:bCs/>
                <w:sz w:val="22"/>
                <w:szCs w:val="22"/>
              </w:rPr>
            </w:pPr>
            <w:r w:rsidRPr="5A480574">
              <w:rPr>
                <w:rFonts w:ascii="Calibri" w:eastAsia="Calibri" w:hAnsi="Calibri" w:cs="Calibri"/>
                <w:b/>
                <w:bCs/>
                <w:sz w:val="22"/>
                <w:szCs w:val="22"/>
              </w:rPr>
              <w:t>Methods:</w:t>
            </w:r>
          </w:p>
          <w:p w:rsidR="00D33466" w:rsidRPr="001A44C0" w:rsidRDefault="00D33466" w:rsidP="00D33466">
            <w:pPr>
              <w:rPr>
                <w:rFonts w:ascii="Calibri" w:eastAsia="Calibri" w:hAnsi="Calibri" w:cs="Calibri"/>
                <w:color w:val="000000" w:themeColor="text1"/>
                <w:sz w:val="22"/>
                <w:szCs w:val="22"/>
              </w:rPr>
            </w:pPr>
            <w:r w:rsidRPr="1C557F03">
              <w:rPr>
                <w:rFonts w:ascii="Calibri" w:eastAsia="Calibri" w:hAnsi="Calibri" w:cs="Calibri"/>
                <w:color w:val="000000" w:themeColor="text1"/>
                <w:sz w:val="22"/>
                <w:szCs w:val="22"/>
                <w:lang w:val="en-GB"/>
              </w:rPr>
              <w:t>This single-centre retrospective audit looks at 6 months of emergency admissions with acute ureteric obstruction requiring a stent or ureteroscopy. Patients were identified via the Urology on-call handover sheets and by checking the computer record of operations carried out on the Emergency theatre list. Data related to the patient demographic, stone, anatomy, and treatment modality were recorded.</w:t>
            </w:r>
          </w:p>
        </w:tc>
      </w:tr>
      <w:tr w:rsidR="00D33466" w:rsidTr="001A44C0">
        <w:trPr>
          <w:trHeight w:val="288"/>
        </w:trPr>
        <w:tc>
          <w:tcPr>
            <w:tcW w:w="9459" w:type="dxa"/>
            <w:gridSpan w:val="2"/>
            <w:shd w:val="clear" w:color="auto" w:fill="D0CECE" w:themeFill="background2" w:themeFillShade="E6"/>
          </w:tcPr>
          <w:p w:rsidR="00D33466" w:rsidRDefault="00D33466" w:rsidP="00D33466">
            <w:pPr>
              <w:rPr>
                <w:rFonts w:ascii="Calibri" w:eastAsia="Calibri" w:hAnsi="Calibri" w:cs="Calibri"/>
                <w:b/>
                <w:bCs/>
                <w:sz w:val="22"/>
                <w:szCs w:val="22"/>
              </w:rPr>
            </w:pPr>
            <w:r w:rsidRPr="5A480574">
              <w:rPr>
                <w:rFonts w:ascii="Calibri" w:eastAsia="Calibri" w:hAnsi="Calibri" w:cs="Calibri"/>
                <w:b/>
                <w:bCs/>
                <w:sz w:val="22"/>
                <w:szCs w:val="22"/>
              </w:rPr>
              <w:t>Results:</w:t>
            </w:r>
          </w:p>
          <w:p w:rsidR="00D33466" w:rsidRPr="001A44C0" w:rsidRDefault="00D33466" w:rsidP="00D33466">
            <w:pPr>
              <w:rPr>
                <w:rFonts w:ascii="Calibri" w:eastAsia="Calibri" w:hAnsi="Calibri" w:cs="Calibri"/>
                <w:color w:val="000000" w:themeColor="text1"/>
                <w:sz w:val="22"/>
                <w:szCs w:val="22"/>
                <w:lang w:val="en-GB"/>
              </w:rPr>
            </w:pPr>
            <w:r w:rsidRPr="1C557F03">
              <w:rPr>
                <w:rFonts w:ascii="Calibri" w:eastAsia="Calibri" w:hAnsi="Calibri" w:cs="Calibri"/>
                <w:color w:val="000000" w:themeColor="text1"/>
                <w:sz w:val="22"/>
                <w:szCs w:val="22"/>
                <w:lang w:val="en-GB"/>
              </w:rPr>
              <w:t>We analysed 181 admissions that required intervention, 122 for pain, 36 for infection, 8 for AKI, 8 for malignancy, and 7 for other reasons. The average time to theatre was 24 hours, (range 1-88 hours), median 14 hours, 20 patients (11%) were treated after 48 hours. 123 (68%) had stents, 58 (32%) had ureteroscopy. Ureteroscopy was more common in distal stones and stones sized 6-10mm.</w:t>
            </w:r>
          </w:p>
        </w:tc>
      </w:tr>
      <w:tr w:rsidR="00D33466" w:rsidTr="001A44C0">
        <w:trPr>
          <w:trHeight w:val="288"/>
        </w:trPr>
        <w:tc>
          <w:tcPr>
            <w:tcW w:w="9459" w:type="dxa"/>
            <w:gridSpan w:val="2"/>
            <w:shd w:val="clear" w:color="auto" w:fill="D0CECE" w:themeFill="background2" w:themeFillShade="E6"/>
          </w:tcPr>
          <w:p w:rsidR="00D33466" w:rsidRDefault="00D33466" w:rsidP="00D33466">
            <w:pPr>
              <w:rPr>
                <w:rFonts w:ascii="Calibri" w:eastAsia="Calibri" w:hAnsi="Calibri" w:cs="Calibri"/>
                <w:b/>
                <w:bCs/>
                <w:sz w:val="22"/>
                <w:szCs w:val="22"/>
              </w:rPr>
            </w:pPr>
            <w:r w:rsidRPr="5A480574">
              <w:rPr>
                <w:rFonts w:ascii="Calibri" w:eastAsia="Calibri" w:hAnsi="Calibri" w:cs="Calibri"/>
                <w:b/>
                <w:bCs/>
                <w:sz w:val="22"/>
                <w:szCs w:val="22"/>
              </w:rPr>
              <w:t>Conclusion:</w:t>
            </w:r>
          </w:p>
          <w:p w:rsidR="00D33466" w:rsidRPr="001A44C0" w:rsidRDefault="00D33466" w:rsidP="00D33466">
            <w:pPr>
              <w:rPr>
                <w:rFonts w:ascii="Calibri" w:eastAsia="Calibri" w:hAnsi="Calibri" w:cs="Calibri"/>
                <w:color w:val="000000" w:themeColor="text1"/>
                <w:sz w:val="22"/>
                <w:szCs w:val="22"/>
              </w:rPr>
            </w:pPr>
            <w:r w:rsidRPr="1C557F03">
              <w:rPr>
                <w:rFonts w:ascii="Calibri" w:eastAsia="Calibri" w:hAnsi="Calibri" w:cs="Calibri"/>
                <w:color w:val="000000" w:themeColor="text1"/>
                <w:sz w:val="22"/>
                <w:szCs w:val="22"/>
                <w:lang w:val="en-GB"/>
              </w:rPr>
              <w:t xml:space="preserve">The analysis of the data shows that we do not currently adhere to GIRFT/NICE guidance which state that all patients who require intervention, except when signs of infection, should be treated with primary ureteroscopy or ESWL within 48 hours. 161 (80%) patients were treated within 48 hours, however, of the 134 patients with stones with no signs of infection only 58 (43%) had primary URS. </w:t>
            </w:r>
          </w:p>
        </w:tc>
      </w:tr>
    </w:tbl>
    <w:p w:rsidR="00D33466" w:rsidRDefault="00D33466" w:rsidP="00D33466"/>
    <w:p w:rsidR="00D33466" w:rsidRDefault="00D33466" w:rsidP="00D33466"/>
    <w:p w:rsidR="00D33466" w:rsidRDefault="00D33466" w:rsidP="00D33466"/>
    <w:tbl>
      <w:tblPr>
        <w:tblStyle w:val="TableGrid"/>
        <w:tblW w:w="9360" w:type="dxa"/>
        <w:tblLayout w:type="fixed"/>
        <w:tblLook w:val="06A0" w:firstRow="1" w:lastRow="0" w:firstColumn="1" w:lastColumn="0" w:noHBand="1" w:noVBand="1"/>
      </w:tblPr>
      <w:tblGrid>
        <w:gridCol w:w="6210"/>
        <w:gridCol w:w="3150"/>
      </w:tblGrid>
      <w:tr w:rsidR="00D33466" w:rsidTr="001A44C0">
        <w:trPr>
          <w:trHeight w:val="659"/>
        </w:trPr>
        <w:tc>
          <w:tcPr>
            <w:tcW w:w="6210" w:type="dxa"/>
          </w:tcPr>
          <w:p w:rsidR="00D33466" w:rsidRPr="001A44C0" w:rsidRDefault="00D33466" w:rsidP="00D33466">
            <w:pPr>
              <w:rPr>
                <w:rFonts w:ascii="Calibri" w:eastAsia="Calibri" w:hAnsi="Calibri" w:cs="Calibri"/>
                <w:b/>
                <w:bCs/>
                <w:sz w:val="22"/>
                <w:szCs w:val="22"/>
              </w:rPr>
            </w:pPr>
            <w:r w:rsidRPr="5A480574">
              <w:rPr>
                <w:rFonts w:ascii="Calibri" w:eastAsia="Calibri" w:hAnsi="Calibri" w:cs="Calibri"/>
                <w:b/>
                <w:bCs/>
                <w:sz w:val="22"/>
                <w:szCs w:val="22"/>
              </w:rPr>
              <w:t>Name of Presenter:</w:t>
            </w:r>
            <w:r w:rsidR="001A44C0">
              <w:rPr>
                <w:rFonts w:ascii="Calibri" w:eastAsia="Calibri" w:hAnsi="Calibri" w:cs="Calibri"/>
                <w:b/>
                <w:bCs/>
                <w:sz w:val="22"/>
                <w:szCs w:val="22"/>
              </w:rPr>
              <w:t xml:space="preserve"> </w:t>
            </w:r>
            <w:r w:rsidRPr="5A480574">
              <w:rPr>
                <w:rFonts w:ascii="Calibri" w:eastAsia="Calibri" w:hAnsi="Calibri" w:cs="Calibri"/>
                <w:sz w:val="22"/>
                <w:szCs w:val="22"/>
              </w:rPr>
              <w:t>Fraser Barbour</w:t>
            </w:r>
          </w:p>
        </w:tc>
        <w:tc>
          <w:tcPr>
            <w:tcW w:w="3150" w:type="dxa"/>
          </w:tcPr>
          <w:p w:rsidR="00D33466" w:rsidRPr="001A44C0" w:rsidRDefault="00D33466" w:rsidP="00D33466">
            <w:pPr>
              <w:rPr>
                <w:rFonts w:ascii="Calibri" w:eastAsia="Calibri" w:hAnsi="Calibri" w:cs="Calibri"/>
                <w:b/>
                <w:bCs/>
                <w:sz w:val="22"/>
                <w:szCs w:val="22"/>
              </w:rPr>
            </w:pPr>
            <w:r w:rsidRPr="5A480574">
              <w:rPr>
                <w:rFonts w:ascii="Calibri" w:eastAsia="Calibri" w:hAnsi="Calibri" w:cs="Calibri"/>
                <w:b/>
                <w:bCs/>
                <w:sz w:val="22"/>
                <w:szCs w:val="22"/>
              </w:rPr>
              <w:t>Training grade/post:</w:t>
            </w:r>
            <w:r w:rsidR="001A44C0">
              <w:rPr>
                <w:rFonts w:ascii="Calibri" w:eastAsia="Calibri" w:hAnsi="Calibri" w:cs="Calibri"/>
                <w:b/>
                <w:bCs/>
                <w:sz w:val="22"/>
                <w:szCs w:val="22"/>
              </w:rPr>
              <w:t xml:space="preserve"> SHO</w:t>
            </w:r>
          </w:p>
        </w:tc>
      </w:tr>
      <w:tr w:rsidR="00D33466" w:rsidTr="001A44C0">
        <w:trPr>
          <w:trHeight w:val="300"/>
        </w:trPr>
        <w:tc>
          <w:tcPr>
            <w:tcW w:w="9360" w:type="dxa"/>
            <w:gridSpan w:val="2"/>
          </w:tcPr>
          <w:p w:rsidR="00D33466" w:rsidRPr="001A44C0" w:rsidRDefault="00D33466" w:rsidP="00D33466">
            <w:pPr>
              <w:rPr>
                <w:rFonts w:ascii="Calibri" w:eastAsia="Calibri" w:hAnsi="Calibri" w:cs="Calibri"/>
                <w:b/>
                <w:bCs/>
                <w:sz w:val="22"/>
                <w:szCs w:val="22"/>
              </w:rPr>
            </w:pPr>
            <w:proofErr w:type="spellStart"/>
            <w:r w:rsidRPr="5A480574">
              <w:rPr>
                <w:rFonts w:ascii="Calibri" w:eastAsia="Calibri" w:hAnsi="Calibri" w:cs="Calibri"/>
                <w:b/>
                <w:bCs/>
                <w:sz w:val="22"/>
                <w:szCs w:val="22"/>
              </w:rPr>
              <w:t>Institution:</w:t>
            </w:r>
            <w:r w:rsidRPr="3DBFFE16">
              <w:rPr>
                <w:rFonts w:ascii="Calibri" w:eastAsia="Calibri" w:hAnsi="Calibri" w:cs="Calibri"/>
                <w:sz w:val="22"/>
                <w:szCs w:val="22"/>
              </w:rPr>
              <w:t>Freeman</w:t>
            </w:r>
            <w:proofErr w:type="spellEnd"/>
            <w:r w:rsidRPr="3DBFFE16">
              <w:rPr>
                <w:rFonts w:ascii="Calibri" w:eastAsia="Calibri" w:hAnsi="Calibri" w:cs="Calibri"/>
                <w:sz w:val="22"/>
                <w:szCs w:val="22"/>
              </w:rPr>
              <w:t xml:space="preserve"> Hospital, Newcastle</w:t>
            </w:r>
          </w:p>
        </w:tc>
      </w:tr>
      <w:tr w:rsidR="00D33466" w:rsidTr="001A44C0">
        <w:trPr>
          <w:trHeight w:val="300"/>
        </w:trPr>
        <w:tc>
          <w:tcPr>
            <w:tcW w:w="9360" w:type="dxa"/>
            <w:gridSpan w:val="2"/>
          </w:tcPr>
          <w:p w:rsidR="00D33466" w:rsidRDefault="00D33466" w:rsidP="00D33466">
            <w:pPr>
              <w:rPr>
                <w:rFonts w:ascii="Calibri" w:eastAsia="Calibri" w:hAnsi="Calibri" w:cs="Calibri"/>
                <w:b/>
                <w:bCs/>
                <w:sz w:val="22"/>
                <w:szCs w:val="22"/>
              </w:rPr>
            </w:pPr>
            <w:r w:rsidRPr="5A480574">
              <w:rPr>
                <w:rFonts w:ascii="Calibri" w:eastAsia="Calibri" w:hAnsi="Calibri" w:cs="Calibri"/>
                <w:b/>
                <w:bCs/>
                <w:sz w:val="22"/>
                <w:szCs w:val="22"/>
              </w:rPr>
              <w:t>Title of Presentation:</w:t>
            </w:r>
          </w:p>
          <w:p w:rsidR="00D33466" w:rsidRPr="001A44C0" w:rsidRDefault="00D33466" w:rsidP="00D33466">
            <w:pPr>
              <w:rPr>
                <w:rFonts w:ascii="Calibri" w:eastAsia="Calibri" w:hAnsi="Calibri" w:cs="Calibri"/>
                <w:color w:val="000000" w:themeColor="text1"/>
                <w:sz w:val="22"/>
                <w:szCs w:val="22"/>
              </w:rPr>
            </w:pPr>
            <w:r w:rsidRPr="3EA1A373">
              <w:rPr>
                <w:rFonts w:ascii="Calibri" w:eastAsia="Calibri" w:hAnsi="Calibri" w:cs="Calibri"/>
                <w:color w:val="000000" w:themeColor="text1"/>
                <w:sz w:val="22"/>
                <w:szCs w:val="22"/>
              </w:rPr>
              <w:t>Single-use flexible ureteroscopes: An affordable upfront cost? Real-world cost analysis of the hybrid model</w:t>
            </w:r>
          </w:p>
        </w:tc>
      </w:tr>
      <w:tr w:rsidR="00D33466" w:rsidTr="001A44C0">
        <w:trPr>
          <w:trHeight w:val="300"/>
        </w:trPr>
        <w:tc>
          <w:tcPr>
            <w:tcW w:w="9360" w:type="dxa"/>
            <w:gridSpan w:val="2"/>
          </w:tcPr>
          <w:p w:rsidR="00D33466" w:rsidRDefault="00D33466" w:rsidP="00D33466">
            <w:pPr>
              <w:rPr>
                <w:rFonts w:ascii="Calibri" w:eastAsia="Calibri" w:hAnsi="Calibri" w:cs="Calibri"/>
                <w:b/>
                <w:bCs/>
                <w:sz w:val="22"/>
                <w:szCs w:val="22"/>
              </w:rPr>
            </w:pPr>
            <w:r w:rsidRPr="5A480574">
              <w:rPr>
                <w:rFonts w:ascii="Calibri" w:eastAsia="Calibri" w:hAnsi="Calibri" w:cs="Calibri"/>
                <w:b/>
                <w:bCs/>
                <w:sz w:val="22"/>
                <w:szCs w:val="22"/>
              </w:rPr>
              <w:t>Authors:</w:t>
            </w:r>
          </w:p>
          <w:p w:rsidR="00D33466" w:rsidRDefault="00D33466" w:rsidP="00D33466">
            <w:pPr>
              <w:rPr>
                <w:rFonts w:ascii="Calibri" w:eastAsia="Calibri" w:hAnsi="Calibri" w:cs="Calibri"/>
                <w:color w:val="000000" w:themeColor="text1"/>
                <w:sz w:val="22"/>
                <w:szCs w:val="22"/>
              </w:rPr>
            </w:pPr>
            <w:r w:rsidRPr="3EA1A373">
              <w:rPr>
                <w:rFonts w:ascii="Calibri" w:eastAsia="Calibri" w:hAnsi="Calibri" w:cs="Calibri"/>
                <w:color w:val="000000" w:themeColor="text1"/>
                <w:sz w:val="22"/>
                <w:szCs w:val="22"/>
              </w:rPr>
              <w:t xml:space="preserve">Fraser Barbour, John Fitzpatrick, Matthew Shaw, Alistair Rogers, David Rix, David Thomas, Rajan </w:t>
            </w:r>
            <w:proofErr w:type="spellStart"/>
            <w:r w:rsidRPr="3EA1A373">
              <w:rPr>
                <w:rFonts w:ascii="Calibri" w:eastAsia="Calibri" w:hAnsi="Calibri" w:cs="Calibri"/>
                <w:color w:val="000000" w:themeColor="text1"/>
                <w:sz w:val="22"/>
                <w:szCs w:val="22"/>
              </w:rPr>
              <w:t>Veeratterapillay</w:t>
            </w:r>
            <w:proofErr w:type="spellEnd"/>
            <w:r w:rsidRPr="3EA1A373">
              <w:rPr>
                <w:rFonts w:ascii="Calibri" w:eastAsia="Calibri" w:hAnsi="Calibri" w:cs="Calibri"/>
                <w:color w:val="000000" w:themeColor="text1"/>
                <w:sz w:val="22"/>
                <w:szCs w:val="22"/>
              </w:rPr>
              <w:t xml:space="preserve">, Robert </w:t>
            </w:r>
            <w:proofErr w:type="spellStart"/>
            <w:r w:rsidRPr="3EA1A373">
              <w:rPr>
                <w:rFonts w:ascii="Calibri" w:eastAsia="Calibri" w:hAnsi="Calibri" w:cs="Calibri"/>
                <w:color w:val="000000" w:themeColor="text1"/>
                <w:sz w:val="22"/>
                <w:szCs w:val="22"/>
              </w:rPr>
              <w:t>Geraghty</w:t>
            </w:r>
            <w:proofErr w:type="spellEnd"/>
            <w:r w:rsidRPr="3EA1A373">
              <w:rPr>
                <w:rFonts w:ascii="Calibri" w:eastAsia="Calibri" w:hAnsi="Calibri" w:cs="Calibri"/>
                <w:color w:val="000000" w:themeColor="text1"/>
                <w:sz w:val="22"/>
                <w:szCs w:val="22"/>
              </w:rPr>
              <w:t>, Angus Luk</w:t>
            </w:r>
          </w:p>
        </w:tc>
      </w:tr>
      <w:tr w:rsidR="00D33466" w:rsidTr="001A44C0">
        <w:trPr>
          <w:trHeight w:val="300"/>
        </w:trPr>
        <w:tc>
          <w:tcPr>
            <w:tcW w:w="9360" w:type="dxa"/>
            <w:gridSpan w:val="2"/>
            <w:shd w:val="clear" w:color="auto" w:fill="D0CECE" w:themeFill="background2" w:themeFillShade="E6"/>
          </w:tcPr>
          <w:p w:rsidR="00D33466" w:rsidRDefault="00D33466" w:rsidP="00D33466">
            <w:pPr>
              <w:rPr>
                <w:rFonts w:ascii="Calibri" w:eastAsia="Calibri" w:hAnsi="Calibri" w:cs="Calibri"/>
                <w:b/>
                <w:bCs/>
                <w:sz w:val="22"/>
                <w:szCs w:val="22"/>
              </w:rPr>
            </w:pPr>
            <w:r w:rsidRPr="3EA1A373">
              <w:rPr>
                <w:rFonts w:ascii="Calibri" w:eastAsia="Calibri" w:hAnsi="Calibri" w:cs="Calibri"/>
                <w:b/>
                <w:bCs/>
                <w:sz w:val="22"/>
                <w:szCs w:val="22"/>
              </w:rPr>
              <w:t>Aims:</w:t>
            </w:r>
          </w:p>
          <w:p w:rsidR="00D33466" w:rsidRDefault="00D33466" w:rsidP="00D33466">
            <w:pPr>
              <w:rPr>
                <w:rFonts w:ascii="Calibri" w:eastAsia="Calibri" w:hAnsi="Calibri" w:cs="Calibri"/>
                <w:color w:val="000000" w:themeColor="text1"/>
                <w:sz w:val="22"/>
                <w:szCs w:val="22"/>
                <w:lang w:val="en-GB"/>
              </w:rPr>
            </w:pPr>
            <w:r w:rsidRPr="247E7AF0">
              <w:rPr>
                <w:rFonts w:ascii="Calibri" w:eastAsia="Calibri" w:hAnsi="Calibri" w:cs="Calibri"/>
                <w:color w:val="000000" w:themeColor="text1"/>
                <w:sz w:val="22"/>
                <w:szCs w:val="22"/>
                <w:lang w:val="en-GB"/>
              </w:rPr>
              <w:t xml:space="preserve">There is a significant cost associated with every use of single-use flexible </w:t>
            </w:r>
            <w:proofErr w:type="spellStart"/>
            <w:r w:rsidRPr="247E7AF0">
              <w:rPr>
                <w:rFonts w:ascii="Calibri" w:eastAsia="Calibri" w:hAnsi="Calibri" w:cs="Calibri"/>
                <w:color w:val="000000" w:themeColor="text1"/>
                <w:sz w:val="22"/>
                <w:szCs w:val="22"/>
                <w:lang w:val="en-GB"/>
              </w:rPr>
              <w:t>ureteroscopes</w:t>
            </w:r>
            <w:proofErr w:type="spellEnd"/>
            <w:r w:rsidRPr="247E7AF0">
              <w:rPr>
                <w:rFonts w:ascii="Calibri" w:eastAsia="Calibri" w:hAnsi="Calibri" w:cs="Calibri"/>
                <w:color w:val="000000" w:themeColor="text1"/>
                <w:sz w:val="22"/>
                <w:szCs w:val="22"/>
                <w:lang w:val="en-GB"/>
              </w:rPr>
              <w:t xml:space="preserve"> (</w:t>
            </w:r>
            <w:proofErr w:type="spellStart"/>
            <w:r w:rsidRPr="247E7AF0">
              <w:rPr>
                <w:rFonts w:ascii="Calibri" w:eastAsia="Calibri" w:hAnsi="Calibri" w:cs="Calibri"/>
                <w:color w:val="000000" w:themeColor="text1"/>
                <w:sz w:val="22"/>
                <w:szCs w:val="22"/>
                <w:lang w:val="en-GB"/>
              </w:rPr>
              <w:t>fURS</w:t>
            </w:r>
            <w:proofErr w:type="spellEnd"/>
            <w:r w:rsidRPr="247E7AF0">
              <w:rPr>
                <w:rFonts w:ascii="Calibri" w:eastAsia="Calibri" w:hAnsi="Calibri" w:cs="Calibri"/>
                <w:color w:val="000000" w:themeColor="text1"/>
                <w:sz w:val="22"/>
                <w:szCs w:val="22"/>
                <w:lang w:val="en-GB"/>
              </w:rPr>
              <w:t xml:space="preserve">) when compared with reusable </w:t>
            </w:r>
            <w:proofErr w:type="spellStart"/>
            <w:r w:rsidRPr="247E7AF0">
              <w:rPr>
                <w:rFonts w:ascii="Calibri" w:eastAsia="Calibri" w:hAnsi="Calibri" w:cs="Calibri"/>
                <w:color w:val="000000" w:themeColor="text1"/>
                <w:sz w:val="22"/>
                <w:szCs w:val="22"/>
                <w:lang w:val="en-GB"/>
              </w:rPr>
              <w:t>fURS</w:t>
            </w:r>
            <w:proofErr w:type="spellEnd"/>
            <w:r w:rsidRPr="247E7AF0">
              <w:rPr>
                <w:rFonts w:ascii="Calibri" w:eastAsia="Calibri" w:hAnsi="Calibri" w:cs="Calibri"/>
                <w:color w:val="000000" w:themeColor="text1"/>
                <w:sz w:val="22"/>
                <w:szCs w:val="22"/>
                <w:lang w:val="en-GB"/>
              </w:rPr>
              <w:t xml:space="preserve">. Recent technological advances have made further miniaturisation possible with single-use scopes, allowing surgical access which otherwise may require stenting and subsequent second procedure. We analysed how the availability of smaller calibre single-use </w:t>
            </w:r>
            <w:proofErr w:type="spellStart"/>
            <w:r w:rsidRPr="247E7AF0">
              <w:rPr>
                <w:rFonts w:ascii="Calibri" w:eastAsia="Calibri" w:hAnsi="Calibri" w:cs="Calibri"/>
                <w:color w:val="000000" w:themeColor="text1"/>
                <w:sz w:val="22"/>
                <w:szCs w:val="22"/>
                <w:lang w:val="en-GB"/>
              </w:rPr>
              <w:t>fURS</w:t>
            </w:r>
            <w:proofErr w:type="spellEnd"/>
            <w:r w:rsidRPr="247E7AF0">
              <w:rPr>
                <w:rFonts w:ascii="Calibri" w:eastAsia="Calibri" w:hAnsi="Calibri" w:cs="Calibri"/>
                <w:color w:val="000000" w:themeColor="text1"/>
                <w:sz w:val="22"/>
                <w:szCs w:val="22"/>
                <w:lang w:val="en-GB"/>
              </w:rPr>
              <w:t xml:space="preserve"> would impact the overall costs.</w:t>
            </w:r>
          </w:p>
        </w:tc>
      </w:tr>
      <w:tr w:rsidR="00D33466" w:rsidTr="001A44C0">
        <w:trPr>
          <w:trHeight w:val="300"/>
        </w:trPr>
        <w:tc>
          <w:tcPr>
            <w:tcW w:w="9360" w:type="dxa"/>
            <w:gridSpan w:val="2"/>
            <w:shd w:val="clear" w:color="auto" w:fill="D0CECE" w:themeFill="background2" w:themeFillShade="E6"/>
          </w:tcPr>
          <w:p w:rsidR="00D33466" w:rsidRDefault="00D33466" w:rsidP="00D33466">
            <w:pPr>
              <w:rPr>
                <w:rFonts w:ascii="Calibri" w:eastAsia="Calibri" w:hAnsi="Calibri" w:cs="Calibri"/>
                <w:b/>
                <w:bCs/>
                <w:sz w:val="22"/>
                <w:szCs w:val="22"/>
              </w:rPr>
            </w:pPr>
            <w:r w:rsidRPr="3EA1A373">
              <w:rPr>
                <w:rFonts w:ascii="Calibri" w:eastAsia="Calibri" w:hAnsi="Calibri" w:cs="Calibri"/>
                <w:b/>
                <w:bCs/>
                <w:sz w:val="22"/>
                <w:szCs w:val="22"/>
              </w:rPr>
              <w:t>Methods:</w:t>
            </w:r>
          </w:p>
          <w:p w:rsidR="00D33466" w:rsidRDefault="00D33466" w:rsidP="00D33466">
            <w:pPr>
              <w:rPr>
                <w:rFonts w:ascii="Calibri" w:eastAsia="Calibri" w:hAnsi="Calibri" w:cs="Calibri"/>
                <w:color w:val="000000" w:themeColor="text1"/>
                <w:sz w:val="22"/>
                <w:szCs w:val="22"/>
                <w:lang w:val="en-GB"/>
              </w:rPr>
            </w:pPr>
            <w:r w:rsidRPr="3EA1A373">
              <w:rPr>
                <w:rFonts w:ascii="Calibri" w:eastAsia="Calibri" w:hAnsi="Calibri" w:cs="Calibri"/>
                <w:color w:val="000000" w:themeColor="text1"/>
                <w:sz w:val="22"/>
                <w:szCs w:val="22"/>
                <w:lang w:val="en-GB"/>
              </w:rPr>
              <w:t>All elective flexible ureteroscopies performed in a tertiary Urology unit were recorded prospectively over a 2-month period. Reusable (URF-V3, Olympus, 8.4Fr) and single-use (</w:t>
            </w:r>
            <w:proofErr w:type="spellStart"/>
            <w:r w:rsidRPr="3EA1A373">
              <w:rPr>
                <w:rFonts w:ascii="Calibri" w:eastAsia="Calibri" w:hAnsi="Calibri" w:cs="Calibri"/>
                <w:color w:val="000000" w:themeColor="text1"/>
                <w:sz w:val="22"/>
                <w:szCs w:val="22"/>
                <w:lang w:val="en-GB"/>
              </w:rPr>
              <w:t>Hugemed</w:t>
            </w:r>
            <w:proofErr w:type="spellEnd"/>
            <w:r w:rsidRPr="3EA1A373">
              <w:rPr>
                <w:rFonts w:ascii="Calibri" w:eastAsia="Calibri" w:hAnsi="Calibri" w:cs="Calibri"/>
                <w:color w:val="000000" w:themeColor="text1"/>
                <w:sz w:val="22"/>
                <w:szCs w:val="22"/>
                <w:lang w:val="en-GB"/>
              </w:rPr>
              <w:t xml:space="preserve">, 7.5Fr) </w:t>
            </w:r>
            <w:proofErr w:type="spellStart"/>
            <w:r w:rsidRPr="3EA1A373">
              <w:rPr>
                <w:rFonts w:ascii="Calibri" w:eastAsia="Calibri" w:hAnsi="Calibri" w:cs="Calibri"/>
                <w:color w:val="000000" w:themeColor="text1"/>
                <w:sz w:val="22"/>
                <w:szCs w:val="22"/>
                <w:lang w:val="en-GB"/>
              </w:rPr>
              <w:t>fURS</w:t>
            </w:r>
            <w:proofErr w:type="spellEnd"/>
            <w:r w:rsidRPr="3EA1A373">
              <w:rPr>
                <w:rFonts w:ascii="Calibri" w:eastAsia="Calibri" w:hAnsi="Calibri" w:cs="Calibri"/>
                <w:color w:val="000000" w:themeColor="text1"/>
                <w:sz w:val="22"/>
                <w:szCs w:val="22"/>
                <w:lang w:val="en-GB"/>
              </w:rPr>
              <w:t xml:space="preserve"> were available, and their use decided by the surgeon. Reason for single-use </w:t>
            </w:r>
            <w:proofErr w:type="spellStart"/>
            <w:r w:rsidRPr="3EA1A373">
              <w:rPr>
                <w:rFonts w:ascii="Calibri" w:eastAsia="Calibri" w:hAnsi="Calibri" w:cs="Calibri"/>
                <w:color w:val="000000" w:themeColor="text1"/>
                <w:sz w:val="22"/>
                <w:szCs w:val="22"/>
                <w:lang w:val="en-GB"/>
              </w:rPr>
              <w:t>fURS</w:t>
            </w:r>
            <w:proofErr w:type="spellEnd"/>
            <w:r w:rsidRPr="3EA1A373">
              <w:rPr>
                <w:rFonts w:ascii="Calibri" w:eastAsia="Calibri" w:hAnsi="Calibri" w:cs="Calibri"/>
                <w:color w:val="000000" w:themeColor="text1"/>
                <w:sz w:val="22"/>
                <w:szCs w:val="22"/>
                <w:lang w:val="en-GB"/>
              </w:rPr>
              <w:t xml:space="preserve"> usage, and likely outcome if they hadn’t been available, were recorded. NHS reference costs were used for the analysis.</w:t>
            </w:r>
          </w:p>
        </w:tc>
      </w:tr>
      <w:tr w:rsidR="00D33466" w:rsidTr="001A44C0">
        <w:trPr>
          <w:trHeight w:val="300"/>
        </w:trPr>
        <w:tc>
          <w:tcPr>
            <w:tcW w:w="9360" w:type="dxa"/>
            <w:gridSpan w:val="2"/>
            <w:shd w:val="clear" w:color="auto" w:fill="D0CECE" w:themeFill="background2" w:themeFillShade="E6"/>
          </w:tcPr>
          <w:p w:rsidR="00D33466" w:rsidRDefault="00D33466" w:rsidP="00D33466">
            <w:pPr>
              <w:rPr>
                <w:rFonts w:ascii="Calibri" w:eastAsia="Calibri" w:hAnsi="Calibri" w:cs="Calibri"/>
                <w:b/>
                <w:bCs/>
                <w:sz w:val="22"/>
                <w:szCs w:val="22"/>
              </w:rPr>
            </w:pPr>
            <w:r w:rsidRPr="3EA1A373">
              <w:rPr>
                <w:rFonts w:ascii="Calibri" w:eastAsia="Calibri" w:hAnsi="Calibri" w:cs="Calibri"/>
                <w:b/>
                <w:bCs/>
                <w:sz w:val="22"/>
                <w:szCs w:val="22"/>
              </w:rPr>
              <w:t>Results:</w:t>
            </w:r>
          </w:p>
          <w:p w:rsidR="00D33466" w:rsidRDefault="00D33466" w:rsidP="00D33466">
            <w:pPr>
              <w:rPr>
                <w:rFonts w:ascii="Calibri" w:eastAsia="Calibri" w:hAnsi="Calibri" w:cs="Calibri"/>
                <w:color w:val="000000" w:themeColor="text1"/>
                <w:sz w:val="22"/>
                <w:szCs w:val="22"/>
                <w:lang w:val="en-GB"/>
              </w:rPr>
            </w:pPr>
            <w:r w:rsidRPr="247E7AF0">
              <w:rPr>
                <w:rFonts w:ascii="Calibri" w:eastAsia="Calibri" w:hAnsi="Calibri" w:cs="Calibri"/>
                <w:color w:val="000000" w:themeColor="text1"/>
                <w:sz w:val="22"/>
                <w:szCs w:val="22"/>
                <w:lang w:val="en-GB"/>
              </w:rPr>
              <w:t xml:space="preserve">45 </w:t>
            </w:r>
            <w:bookmarkStart w:id="1" w:name="_Int_2bcnKO3V"/>
            <w:r w:rsidRPr="247E7AF0">
              <w:rPr>
                <w:rFonts w:ascii="Calibri" w:eastAsia="Calibri" w:hAnsi="Calibri" w:cs="Calibri"/>
                <w:color w:val="000000" w:themeColor="text1"/>
                <w:sz w:val="22"/>
                <w:szCs w:val="22"/>
                <w:lang w:val="en-GB"/>
              </w:rPr>
              <w:t>elective</w:t>
            </w:r>
            <w:bookmarkEnd w:id="1"/>
            <w:r w:rsidRPr="247E7AF0">
              <w:rPr>
                <w:rFonts w:ascii="Calibri" w:eastAsia="Calibri" w:hAnsi="Calibri" w:cs="Calibri"/>
                <w:color w:val="000000" w:themeColor="text1"/>
                <w:sz w:val="22"/>
                <w:szCs w:val="22"/>
                <w:lang w:val="en-GB"/>
              </w:rPr>
              <w:t xml:space="preserve"> flexible ureteroscopies </w:t>
            </w:r>
            <w:proofErr w:type="gramStart"/>
            <w:r w:rsidRPr="247E7AF0">
              <w:rPr>
                <w:rFonts w:ascii="Calibri" w:eastAsia="Calibri" w:hAnsi="Calibri" w:cs="Calibri"/>
                <w:color w:val="000000" w:themeColor="text1"/>
                <w:sz w:val="22"/>
                <w:szCs w:val="22"/>
                <w:lang w:val="en-GB"/>
              </w:rPr>
              <w:t>were performed</w:t>
            </w:r>
            <w:proofErr w:type="gramEnd"/>
            <w:r w:rsidRPr="247E7AF0">
              <w:rPr>
                <w:rFonts w:ascii="Calibri" w:eastAsia="Calibri" w:hAnsi="Calibri" w:cs="Calibri"/>
                <w:color w:val="000000" w:themeColor="text1"/>
                <w:sz w:val="22"/>
                <w:szCs w:val="22"/>
                <w:lang w:val="en-GB"/>
              </w:rPr>
              <w:t xml:space="preserve"> from 5th April to 5th June 2024. Single-use </w:t>
            </w:r>
            <w:proofErr w:type="spellStart"/>
            <w:r w:rsidRPr="247E7AF0">
              <w:rPr>
                <w:rFonts w:ascii="Calibri" w:eastAsia="Calibri" w:hAnsi="Calibri" w:cs="Calibri"/>
                <w:color w:val="000000" w:themeColor="text1"/>
                <w:sz w:val="22"/>
                <w:szCs w:val="22"/>
                <w:lang w:val="en-GB"/>
              </w:rPr>
              <w:t>fURS</w:t>
            </w:r>
            <w:proofErr w:type="spellEnd"/>
            <w:r w:rsidRPr="247E7AF0">
              <w:rPr>
                <w:rFonts w:ascii="Calibri" w:eastAsia="Calibri" w:hAnsi="Calibri" w:cs="Calibri"/>
                <w:color w:val="000000" w:themeColor="text1"/>
                <w:sz w:val="22"/>
                <w:szCs w:val="22"/>
                <w:lang w:val="en-GB"/>
              </w:rPr>
              <w:t xml:space="preserve"> were used in 20 of 45 cases (44%). In 14 cases the rationale of using single-use </w:t>
            </w:r>
            <w:proofErr w:type="spellStart"/>
            <w:r w:rsidRPr="247E7AF0">
              <w:rPr>
                <w:rFonts w:ascii="Calibri" w:eastAsia="Calibri" w:hAnsi="Calibri" w:cs="Calibri"/>
                <w:color w:val="000000" w:themeColor="text1"/>
                <w:sz w:val="22"/>
                <w:szCs w:val="22"/>
                <w:lang w:val="en-GB"/>
              </w:rPr>
              <w:t>fURS</w:t>
            </w:r>
            <w:proofErr w:type="spellEnd"/>
            <w:r w:rsidRPr="247E7AF0">
              <w:rPr>
                <w:rFonts w:ascii="Calibri" w:eastAsia="Calibri" w:hAnsi="Calibri" w:cs="Calibri"/>
                <w:color w:val="000000" w:themeColor="text1"/>
                <w:sz w:val="22"/>
                <w:szCs w:val="22"/>
                <w:lang w:val="en-GB"/>
              </w:rPr>
              <w:t xml:space="preserve"> were due to difficult access (which otherwise would necessitate stent and second procedure), and in 1 case reusable </w:t>
            </w:r>
            <w:proofErr w:type="spellStart"/>
            <w:r w:rsidRPr="247E7AF0">
              <w:rPr>
                <w:rFonts w:ascii="Calibri" w:eastAsia="Calibri" w:hAnsi="Calibri" w:cs="Calibri"/>
                <w:color w:val="000000" w:themeColor="text1"/>
                <w:sz w:val="22"/>
                <w:szCs w:val="22"/>
                <w:lang w:val="en-GB"/>
              </w:rPr>
              <w:t>fURS</w:t>
            </w:r>
            <w:proofErr w:type="spellEnd"/>
            <w:r w:rsidRPr="247E7AF0">
              <w:rPr>
                <w:rFonts w:ascii="Calibri" w:eastAsia="Calibri" w:hAnsi="Calibri" w:cs="Calibri"/>
                <w:color w:val="000000" w:themeColor="text1"/>
                <w:sz w:val="22"/>
                <w:szCs w:val="22"/>
                <w:lang w:val="en-GB"/>
              </w:rPr>
              <w:t xml:space="preserve"> was not available. One single-use </w:t>
            </w:r>
            <w:proofErr w:type="spellStart"/>
            <w:r w:rsidRPr="247E7AF0">
              <w:rPr>
                <w:rFonts w:ascii="Calibri" w:eastAsia="Calibri" w:hAnsi="Calibri" w:cs="Calibri"/>
                <w:color w:val="000000" w:themeColor="text1"/>
                <w:sz w:val="22"/>
                <w:szCs w:val="22"/>
                <w:lang w:val="en-GB"/>
              </w:rPr>
              <w:t>fURS</w:t>
            </w:r>
            <w:proofErr w:type="spellEnd"/>
            <w:r w:rsidRPr="247E7AF0">
              <w:rPr>
                <w:rFonts w:ascii="Calibri" w:eastAsia="Calibri" w:hAnsi="Calibri" w:cs="Calibri"/>
                <w:color w:val="000000" w:themeColor="text1"/>
                <w:sz w:val="22"/>
                <w:szCs w:val="22"/>
                <w:lang w:val="en-GB"/>
              </w:rPr>
              <w:t xml:space="preserve"> costs £425, and NHS reference cost for elective ureteroscopy is £2172. In every case where single-use </w:t>
            </w:r>
            <w:proofErr w:type="spellStart"/>
            <w:r w:rsidRPr="247E7AF0">
              <w:rPr>
                <w:rFonts w:ascii="Calibri" w:eastAsia="Calibri" w:hAnsi="Calibri" w:cs="Calibri"/>
                <w:color w:val="000000" w:themeColor="text1"/>
                <w:sz w:val="22"/>
                <w:szCs w:val="22"/>
                <w:lang w:val="en-GB"/>
              </w:rPr>
              <w:t>fURS</w:t>
            </w:r>
            <w:proofErr w:type="spellEnd"/>
            <w:r w:rsidRPr="247E7AF0">
              <w:rPr>
                <w:rFonts w:ascii="Calibri" w:eastAsia="Calibri" w:hAnsi="Calibri" w:cs="Calibri"/>
                <w:color w:val="000000" w:themeColor="text1"/>
                <w:sz w:val="22"/>
                <w:szCs w:val="22"/>
                <w:lang w:val="en-GB"/>
              </w:rPr>
              <w:t xml:space="preserve"> usage prevents the need for stenting and subsequent second procedure, this would result in a net saving of £1747. Translating this to our 15 cases would mean an average monthly saving of £13103.</w:t>
            </w:r>
          </w:p>
        </w:tc>
      </w:tr>
      <w:tr w:rsidR="00D33466" w:rsidTr="001A44C0">
        <w:trPr>
          <w:trHeight w:val="300"/>
        </w:trPr>
        <w:tc>
          <w:tcPr>
            <w:tcW w:w="9360" w:type="dxa"/>
            <w:gridSpan w:val="2"/>
            <w:shd w:val="clear" w:color="auto" w:fill="D0CECE" w:themeFill="background2" w:themeFillShade="E6"/>
          </w:tcPr>
          <w:p w:rsidR="001A44C0" w:rsidRDefault="00D33466" w:rsidP="00D33466">
            <w:pPr>
              <w:rPr>
                <w:rFonts w:ascii="Calibri" w:eastAsia="Calibri" w:hAnsi="Calibri" w:cs="Calibri"/>
                <w:b/>
                <w:bCs/>
                <w:sz w:val="22"/>
                <w:szCs w:val="22"/>
              </w:rPr>
            </w:pPr>
            <w:r w:rsidRPr="3EA1A373">
              <w:rPr>
                <w:rFonts w:ascii="Calibri" w:eastAsia="Calibri" w:hAnsi="Calibri" w:cs="Calibri"/>
                <w:b/>
                <w:bCs/>
                <w:sz w:val="22"/>
                <w:szCs w:val="22"/>
              </w:rPr>
              <w:t>Conclusion:</w:t>
            </w:r>
          </w:p>
          <w:p w:rsidR="00D33466" w:rsidRPr="001A44C0" w:rsidRDefault="00D33466" w:rsidP="00D33466">
            <w:pPr>
              <w:rPr>
                <w:rFonts w:ascii="Calibri" w:eastAsia="Calibri" w:hAnsi="Calibri" w:cs="Calibri"/>
                <w:b/>
                <w:bCs/>
                <w:sz w:val="22"/>
                <w:szCs w:val="22"/>
              </w:rPr>
            </w:pPr>
            <w:r w:rsidRPr="3EA1A373">
              <w:rPr>
                <w:rFonts w:ascii="Calibri" w:eastAsia="Calibri" w:hAnsi="Calibri" w:cs="Calibri"/>
                <w:color w:val="000000" w:themeColor="text1"/>
                <w:sz w:val="22"/>
                <w:szCs w:val="22"/>
                <w:lang w:val="en-GB"/>
              </w:rPr>
              <w:t xml:space="preserve">Our real-world practice data suggested that a “hybrid model” with smaller calibre single-use and reusable </w:t>
            </w:r>
            <w:proofErr w:type="spellStart"/>
            <w:r w:rsidRPr="3EA1A373">
              <w:rPr>
                <w:rFonts w:ascii="Calibri" w:eastAsia="Calibri" w:hAnsi="Calibri" w:cs="Calibri"/>
                <w:color w:val="000000" w:themeColor="text1"/>
                <w:sz w:val="22"/>
                <w:szCs w:val="22"/>
                <w:lang w:val="en-GB"/>
              </w:rPr>
              <w:t>fURS</w:t>
            </w:r>
            <w:proofErr w:type="spellEnd"/>
            <w:r w:rsidRPr="3EA1A373">
              <w:rPr>
                <w:rFonts w:ascii="Calibri" w:eastAsia="Calibri" w:hAnsi="Calibri" w:cs="Calibri"/>
                <w:color w:val="000000" w:themeColor="text1"/>
                <w:sz w:val="22"/>
                <w:szCs w:val="22"/>
                <w:lang w:val="en-GB"/>
              </w:rPr>
              <w:t xml:space="preserve"> could confer significant cost-benefits and help to reduce waiting lists.</w:t>
            </w:r>
          </w:p>
        </w:tc>
      </w:tr>
    </w:tbl>
    <w:p w:rsidR="00D33466" w:rsidRDefault="00D33466" w:rsidP="00D33466"/>
    <w:tbl>
      <w:tblPr>
        <w:tblStyle w:val="TableGrid"/>
        <w:tblW w:w="10348" w:type="dxa"/>
        <w:tblInd w:w="-714" w:type="dxa"/>
        <w:tblLayout w:type="fixed"/>
        <w:tblLook w:val="06A0" w:firstRow="1" w:lastRow="0" w:firstColumn="1" w:lastColumn="0" w:noHBand="1" w:noVBand="1"/>
      </w:tblPr>
      <w:tblGrid>
        <w:gridCol w:w="6924"/>
        <w:gridCol w:w="3424"/>
      </w:tblGrid>
      <w:tr w:rsidR="00D33466" w:rsidTr="001A44C0">
        <w:trPr>
          <w:trHeight w:val="300"/>
        </w:trPr>
        <w:tc>
          <w:tcPr>
            <w:tcW w:w="6924" w:type="dxa"/>
          </w:tcPr>
          <w:p w:rsidR="00D33466" w:rsidRPr="001A44C0" w:rsidRDefault="00D33466" w:rsidP="00D33466">
            <w:pPr>
              <w:rPr>
                <w:rFonts w:ascii="Arial" w:eastAsia="Calibri" w:hAnsi="Arial" w:cs="Arial"/>
                <w:b/>
                <w:bCs/>
                <w:sz w:val="22"/>
                <w:szCs w:val="22"/>
              </w:rPr>
            </w:pPr>
            <w:r w:rsidRPr="001A44C0">
              <w:rPr>
                <w:rFonts w:ascii="Arial" w:eastAsia="Calibri" w:hAnsi="Arial" w:cs="Arial"/>
                <w:b/>
                <w:bCs/>
                <w:sz w:val="22"/>
                <w:szCs w:val="22"/>
              </w:rPr>
              <w:t>Name of Presenter:</w:t>
            </w:r>
          </w:p>
          <w:p w:rsidR="00D33466" w:rsidRPr="001A44C0" w:rsidRDefault="00D33466" w:rsidP="00D33466">
            <w:pPr>
              <w:rPr>
                <w:rFonts w:ascii="Arial" w:eastAsia="Calibri" w:hAnsi="Arial" w:cs="Arial"/>
                <w:sz w:val="22"/>
                <w:szCs w:val="22"/>
              </w:rPr>
            </w:pPr>
            <w:r w:rsidRPr="001A44C0">
              <w:rPr>
                <w:rFonts w:ascii="Arial" w:eastAsia="Calibri" w:hAnsi="Arial" w:cs="Arial"/>
                <w:sz w:val="22"/>
                <w:szCs w:val="22"/>
              </w:rPr>
              <w:t>Fraser Barbour</w:t>
            </w:r>
          </w:p>
        </w:tc>
        <w:tc>
          <w:tcPr>
            <w:tcW w:w="3424" w:type="dxa"/>
          </w:tcPr>
          <w:p w:rsidR="00D33466" w:rsidRPr="001A44C0" w:rsidRDefault="00D33466" w:rsidP="00D33466">
            <w:pPr>
              <w:rPr>
                <w:rFonts w:ascii="Arial" w:eastAsia="Calibri" w:hAnsi="Arial" w:cs="Arial"/>
                <w:b/>
                <w:bCs/>
                <w:sz w:val="22"/>
                <w:szCs w:val="22"/>
              </w:rPr>
            </w:pPr>
            <w:r w:rsidRPr="001A44C0">
              <w:rPr>
                <w:rFonts w:ascii="Arial" w:eastAsia="Calibri" w:hAnsi="Arial" w:cs="Arial"/>
                <w:b/>
                <w:bCs/>
                <w:sz w:val="22"/>
                <w:szCs w:val="22"/>
              </w:rPr>
              <w:t>Training grade/post:</w:t>
            </w:r>
          </w:p>
          <w:p w:rsidR="00D33466" w:rsidRPr="001A44C0" w:rsidRDefault="00D33466" w:rsidP="00D33466">
            <w:pPr>
              <w:rPr>
                <w:rFonts w:ascii="Arial" w:eastAsia="Calibri" w:hAnsi="Arial" w:cs="Arial"/>
                <w:sz w:val="22"/>
                <w:szCs w:val="22"/>
              </w:rPr>
            </w:pPr>
            <w:r w:rsidRPr="001A44C0">
              <w:rPr>
                <w:rFonts w:ascii="Arial" w:eastAsia="Calibri" w:hAnsi="Arial" w:cs="Arial"/>
                <w:sz w:val="22"/>
                <w:szCs w:val="22"/>
              </w:rPr>
              <w:t>SHO</w:t>
            </w:r>
          </w:p>
        </w:tc>
      </w:tr>
      <w:tr w:rsidR="00D33466" w:rsidTr="001A44C0">
        <w:trPr>
          <w:trHeight w:val="300"/>
        </w:trPr>
        <w:tc>
          <w:tcPr>
            <w:tcW w:w="10348" w:type="dxa"/>
            <w:gridSpan w:val="2"/>
          </w:tcPr>
          <w:p w:rsidR="00D33466" w:rsidRPr="001A44C0" w:rsidRDefault="00D33466" w:rsidP="00D33466">
            <w:pPr>
              <w:rPr>
                <w:rFonts w:ascii="Arial" w:eastAsia="Calibri" w:hAnsi="Arial" w:cs="Arial"/>
                <w:b/>
                <w:bCs/>
                <w:sz w:val="22"/>
                <w:szCs w:val="22"/>
              </w:rPr>
            </w:pPr>
            <w:r w:rsidRPr="001A44C0">
              <w:rPr>
                <w:rFonts w:ascii="Arial" w:eastAsia="Calibri" w:hAnsi="Arial" w:cs="Arial"/>
                <w:b/>
                <w:bCs/>
                <w:sz w:val="22"/>
                <w:szCs w:val="22"/>
              </w:rPr>
              <w:t>Institution:</w:t>
            </w:r>
          </w:p>
          <w:p w:rsidR="00D33466" w:rsidRPr="001A44C0" w:rsidRDefault="00D33466" w:rsidP="00D33466">
            <w:pPr>
              <w:rPr>
                <w:rFonts w:ascii="Arial" w:eastAsia="Calibri" w:hAnsi="Arial" w:cs="Arial"/>
                <w:sz w:val="22"/>
                <w:szCs w:val="22"/>
              </w:rPr>
            </w:pPr>
            <w:r w:rsidRPr="001A44C0">
              <w:rPr>
                <w:rFonts w:ascii="Arial" w:eastAsia="Calibri" w:hAnsi="Arial" w:cs="Arial"/>
                <w:sz w:val="22"/>
                <w:szCs w:val="22"/>
              </w:rPr>
              <w:t>Freeman Hospital, Newcastle</w:t>
            </w:r>
          </w:p>
        </w:tc>
      </w:tr>
      <w:tr w:rsidR="00D33466" w:rsidTr="001A44C0">
        <w:trPr>
          <w:trHeight w:val="858"/>
        </w:trPr>
        <w:tc>
          <w:tcPr>
            <w:tcW w:w="10348" w:type="dxa"/>
            <w:gridSpan w:val="2"/>
          </w:tcPr>
          <w:p w:rsidR="00D33466" w:rsidRPr="001A44C0" w:rsidRDefault="00D33466" w:rsidP="00D33466">
            <w:pPr>
              <w:rPr>
                <w:rFonts w:ascii="Arial" w:eastAsia="Calibri" w:hAnsi="Arial" w:cs="Arial"/>
                <w:b/>
                <w:bCs/>
                <w:sz w:val="22"/>
                <w:szCs w:val="22"/>
              </w:rPr>
            </w:pPr>
            <w:r w:rsidRPr="001A44C0">
              <w:rPr>
                <w:rFonts w:ascii="Arial" w:eastAsia="Calibri" w:hAnsi="Arial" w:cs="Arial"/>
                <w:b/>
                <w:bCs/>
                <w:sz w:val="22"/>
                <w:szCs w:val="22"/>
              </w:rPr>
              <w:t>Title of Presentation:</w:t>
            </w:r>
          </w:p>
          <w:p w:rsidR="00D33466" w:rsidRPr="001A44C0" w:rsidRDefault="00D33466" w:rsidP="00D33466">
            <w:pPr>
              <w:rPr>
                <w:rFonts w:ascii="Arial" w:eastAsia="Calibri" w:hAnsi="Arial" w:cs="Arial"/>
                <w:sz w:val="22"/>
                <w:szCs w:val="22"/>
              </w:rPr>
            </w:pPr>
            <w:proofErr w:type="spellStart"/>
            <w:r w:rsidRPr="001A44C0">
              <w:rPr>
                <w:rFonts w:ascii="Arial" w:eastAsia="Calibri" w:hAnsi="Arial" w:cs="Arial"/>
                <w:sz w:val="22"/>
                <w:szCs w:val="22"/>
              </w:rPr>
              <w:t>Optimising</w:t>
            </w:r>
            <w:proofErr w:type="spellEnd"/>
            <w:r w:rsidRPr="001A44C0">
              <w:rPr>
                <w:rFonts w:ascii="Arial" w:eastAsia="Calibri" w:hAnsi="Arial" w:cs="Arial"/>
                <w:sz w:val="22"/>
                <w:szCs w:val="22"/>
              </w:rPr>
              <w:t xml:space="preserve"> the Timing of Post-Operative Mitomycin-C After Initial TURBTs</w:t>
            </w:r>
          </w:p>
        </w:tc>
      </w:tr>
      <w:tr w:rsidR="00D33466" w:rsidTr="001A44C0">
        <w:trPr>
          <w:trHeight w:val="300"/>
        </w:trPr>
        <w:tc>
          <w:tcPr>
            <w:tcW w:w="10348" w:type="dxa"/>
            <w:gridSpan w:val="2"/>
          </w:tcPr>
          <w:p w:rsidR="00D33466" w:rsidRPr="001A44C0" w:rsidRDefault="00D33466" w:rsidP="00D33466">
            <w:pPr>
              <w:rPr>
                <w:rFonts w:ascii="Arial" w:eastAsia="Calibri" w:hAnsi="Arial" w:cs="Arial"/>
                <w:b/>
                <w:bCs/>
                <w:sz w:val="22"/>
                <w:szCs w:val="22"/>
              </w:rPr>
            </w:pPr>
            <w:r w:rsidRPr="001A44C0">
              <w:rPr>
                <w:rFonts w:ascii="Arial" w:eastAsia="Calibri" w:hAnsi="Arial" w:cs="Arial"/>
                <w:b/>
                <w:bCs/>
                <w:sz w:val="22"/>
                <w:szCs w:val="22"/>
              </w:rPr>
              <w:t>Authors:</w:t>
            </w:r>
          </w:p>
          <w:p w:rsidR="00D33466" w:rsidRPr="001A44C0" w:rsidRDefault="00D33466" w:rsidP="00D33466">
            <w:pPr>
              <w:rPr>
                <w:rFonts w:ascii="Arial" w:eastAsia="Calibri" w:hAnsi="Arial" w:cs="Arial"/>
                <w:color w:val="000000" w:themeColor="text1"/>
                <w:sz w:val="22"/>
                <w:szCs w:val="22"/>
              </w:rPr>
            </w:pPr>
            <w:r w:rsidRPr="001A44C0">
              <w:rPr>
                <w:rFonts w:ascii="Arial" w:eastAsia="Calibri" w:hAnsi="Arial" w:cs="Arial"/>
                <w:color w:val="000000" w:themeColor="text1"/>
                <w:sz w:val="22"/>
                <w:szCs w:val="22"/>
              </w:rPr>
              <w:t>Fraser Barbour, Laura Noble, William Fowler, John Fitzpatrick</w:t>
            </w:r>
          </w:p>
        </w:tc>
      </w:tr>
      <w:tr w:rsidR="00D33466" w:rsidTr="001A44C0">
        <w:trPr>
          <w:trHeight w:val="300"/>
        </w:trPr>
        <w:tc>
          <w:tcPr>
            <w:tcW w:w="10348" w:type="dxa"/>
            <w:gridSpan w:val="2"/>
            <w:shd w:val="clear" w:color="auto" w:fill="D0CECE" w:themeFill="background2" w:themeFillShade="E6"/>
          </w:tcPr>
          <w:p w:rsidR="00D33466" w:rsidRPr="001A44C0" w:rsidRDefault="00D33466" w:rsidP="00D33466">
            <w:pPr>
              <w:rPr>
                <w:rFonts w:ascii="Arial" w:eastAsia="Calibri" w:hAnsi="Arial" w:cs="Arial"/>
                <w:b/>
                <w:bCs/>
                <w:sz w:val="22"/>
                <w:szCs w:val="22"/>
              </w:rPr>
            </w:pPr>
            <w:r w:rsidRPr="001A44C0">
              <w:rPr>
                <w:rFonts w:ascii="Arial" w:eastAsia="Calibri" w:hAnsi="Arial" w:cs="Arial"/>
                <w:b/>
                <w:bCs/>
                <w:sz w:val="22"/>
                <w:szCs w:val="22"/>
              </w:rPr>
              <w:t>Aims:</w:t>
            </w:r>
          </w:p>
          <w:p w:rsidR="00D33466" w:rsidRPr="001A44C0" w:rsidRDefault="00D33466" w:rsidP="00D33466">
            <w:pPr>
              <w:rPr>
                <w:rFonts w:ascii="Arial" w:eastAsia="Calibri" w:hAnsi="Arial" w:cs="Arial"/>
                <w:color w:val="000000" w:themeColor="text1"/>
                <w:sz w:val="22"/>
                <w:szCs w:val="22"/>
                <w:lang w:val="en-GB"/>
              </w:rPr>
            </w:pPr>
            <w:r w:rsidRPr="001A44C0">
              <w:rPr>
                <w:rFonts w:ascii="Arial" w:eastAsia="Calibri" w:hAnsi="Arial" w:cs="Arial"/>
                <w:color w:val="000000" w:themeColor="text1"/>
                <w:sz w:val="22"/>
                <w:szCs w:val="22"/>
                <w:lang w:val="en-GB"/>
              </w:rPr>
              <w:t xml:space="preserve">NICE guidelines suggest patients undergoing initial TURBTs should receive a </w:t>
            </w:r>
            <w:bookmarkStart w:id="2" w:name="_Int_nuCCUCj8"/>
            <w:r w:rsidRPr="001A44C0">
              <w:rPr>
                <w:rFonts w:ascii="Arial" w:eastAsia="Calibri" w:hAnsi="Arial" w:cs="Arial"/>
                <w:color w:val="000000" w:themeColor="text1"/>
                <w:sz w:val="22"/>
                <w:szCs w:val="22"/>
                <w:lang w:val="en-GB"/>
              </w:rPr>
              <w:t>single-instillation</w:t>
            </w:r>
            <w:bookmarkEnd w:id="2"/>
            <w:r w:rsidRPr="001A44C0">
              <w:rPr>
                <w:rFonts w:ascii="Arial" w:eastAsia="Calibri" w:hAnsi="Arial" w:cs="Arial"/>
                <w:color w:val="000000" w:themeColor="text1"/>
                <w:sz w:val="22"/>
                <w:szCs w:val="22"/>
                <w:lang w:val="en-GB"/>
              </w:rPr>
              <w:t xml:space="preserve"> of Mitomycin-C at the same time as TURBT. EAU guidelines say Mitomycin should be given within 2 hours. Some in-vitro evidence suggests that bladder tumours can reimplant in the bladder lining and can even become covered within extracellular matrix within 2 hours. </w:t>
            </w:r>
          </w:p>
          <w:p w:rsidR="00D33466" w:rsidRPr="001A44C0" w:rsidRDefault="00D33466" w:rsidP="00D33466">
            <w:pPr>
              <w:rPr>
                <w:rFonts w:ascii="Arial" w:eastAsia="Calibri" w:hAnsi="Arial" w:cs="Arial"/>
                <w:color w:val="000000" w:themeColor="text1"/>
                <w:sz w:val="22"/>
                <w:szCs w:val="22"/>
                <w:lang w:val="en-GB"/>
              </w:rPr>
            </w:pPr>
            <w:r w:rsidRPr="001A44C0">
              <w:rPr>
                <w:rFonts w:ascii="Arial" w:eastAsia="Calibri" w:hAnsi="Arial" w:cs="Arial"/>
                <w:color w:val="000000" w:themeColor="text1"/>
                <w:sz w:val="22"/>
                <w:szCs w:val="22"/>
                <w:lang w:val="en-GB"/>
              </w:rPr>
              <w:t xml:space="preserve">In 2023, the Trust changed its policy to start giving Mitomycin in theatre following TURBTs where appropriate rather than on the ward. This audit aims to assess the impact this change had on the timing of Mitomycin and determine if there are any issues reducing the number of patients receiving Mitomycin. </w:t>
            </w:r>
          </w:p>
        </w:tc>
      </w:tr>
      <w:tr w:rsidR="00D33466" w:rsidTr="001A44C0">
        <w:trPr>
          <w:trHeight w:val="300"/>
        </w:trPr>
        <w:tc>
          <w:tcPr>
            <w:tcW w:w="10348" w:type="dxa"/>
            <w:gridSpan w:val="2"/>
            <w:shd w:val="clear" w:color="auto" w:fill="D0CECE" w:themeFill="background2" w:themeFillShade="E6"/>
          </w:tcPr>
          <w:p w:rsidR="00D33466" w:rsidRPr="001A44C0" w:rsidRDefault="00D33466" w:rsidP="00D33466">
            <w:pPr>
              <w:rPr>
                <w:rFonts w:ascii="Arial" w:eastAsia="Calibri" w:hAnsi="Arial" w:cs="Arial"/>
                <w:b/>
                <w:bCs/>
                <w:sz w:val="22"/>
                <w:szCs w:val="22"/>
              </w:rPr>
            </w:pPr>
            <w:r w:rsidRPr="001A44C0">
              <w:rPr>
                <w:rFonts w:ascii="Arial" w:eastAsia="Calibri" w:hAnsi="Arial" w:cs="Arial"/>
                <w:b/>
                <w:bCs/>
                <w:sz w:val="22"/>
                <w:szCs w:val="22"/>
              </w:rPr>
              <w:t>Methods:</w:t>
            </w:r>
          </w:p>
          <w:p w:rsidR="00D33466" w:rsidRPr="001A44C0" w:rsidRDefault="00D33466" w:rsidP="00D33466">
            <w:pPr>
              <w:rPr>
                <w:rFonts w:ascii="Arial" w:eastAsia="Calibri" w:hAnsi="Arial" w:cs="Arial"/>
                <w:color w:val="000000" w:themeColor="text1"/>
                <w:sz w:val="22"/>
                <w:szCs w:val="22"/>
                <w:lang w:val="en-GB"/>
              </w:rPr>
            </w:pPr>
            <w:r w:rsidRPr="001A44C0">
              <w:rPr>
                <w:rFonts w:ascii="Arial" w:eastAsia="Calibri" w:hAnsi="Arial" w:cs="Arial"/>
                <w:color w:val="000000" w:themeColor="text1"/>
                <w:sz w:val="22"/>
                <w:szCs w:val="22"/>
                <w:lang w:val="en-GB"/>
              </w:rPr>
              <w:t>A retrospective review was undertaken of patients undergoing their first TURBT between September and December 2022, at which time Mitomycin was given on the ward, and compared against initial TURBT patients from September to December 2023.</w:t>
            </w:r>
          </w:p>
        </w:tc>
      </w:tr>
      <w:tr w:rsidR="00D33466" w:rsidTr="001A44C0">
        <w:trPr>
          <w:trHeight w:val="300"/>
        </w:trPr>
        <w:tc>
          <w:tcPr>
            <w:tcW w:w="10348" w:type="dxa"/>
            <w:gridSpan w:val="2"/>
            <w:shd w:val="clear" w:color="auto" w:fill="D0CECE" w:themeFill="background2" w:themeFillShade="E6"/>
          </w:tcPr>
          <w:p w:rsidR="00D33466" w:rsidRPr="001A44C0" w:rsidRDefault="00D33466" w:rsidP="00D33466">
            <w:pPr>
              <w:rPr>
                <w:rFonts w:ascii="Arial" w:eastAsia="Calibri" w:hAnsi="Arial" w:cs="Arial"/>
                <w:b/>
                <w:bCs/>
                <w:sz w:val="22"/>
                <w:szCs w:val="22"/>
              </w:rPr>
            </w:pPr>
            <w:r w:rsidRPr="001A44C0">
              <w:rPr>
                <w:rFonts w:ascii="Arial" w:eastAsia="Calibri" w:hAnsi="Arial" w:cs="Arial"/>
                <w:b/>
                <w:bCs/>
                <w:sz w:val="22"/>
                <w:szCs w:val="22"/>
              </w:rPr>
              <w:t>Results:</w:t>
            </w:r>
          </w:p>
          <w:p w:rsidR="00D33466" w:rsidRPr="001A44C0" w:rsidRDefault="00D33466" w:rsidP="00D33466">
            <w:pPr>
              <w:rPr>
                <w:rFonts w:ascii="Arial" w:eastAsia="Calibri" w:hAnsi="Arial" w:cs="Arial"/>
                <w:color w:val="000000" w:themeColor="text1"/>
                <w:sz w:val="22"/>
                <w:szCs w:val="22"/>
                <w:lang w:val="en-GB"/>
              </w:rPr>
            </w:pPr>
            <w:r w:rsidRPr="001A44C0">
              <w:rPr>
                <w:rFonts w:ascii="Arial" w:eastAsia="Calibri" w:hAnsi="Arial" w:cs="Arial"/>
                <w:color w:val="000000" w:themeColor="text1"/>
                <w:sz w:val="22"/>
                <w:szCs w:val="22"/>
                <w:lang w:val="en-GB"/>
              </w:rPr>
              <w:t>108 patients underwent TURBT from September-December 2022 with 50% receiving Mitomycin post-operatively. 123 patients had TURBTs from September-December 2023 with 43% receiving Mitomycin. The mean time until Mitomycin in the 2022 group was 241 minutes compared to just 121 minutes in 2023. The number receiving Mitomycin within 2 hours increased from 26% in 2022 to 67% in 2023. Reasons for not giving Mitomycin post-operatively included deep resection, solid tumour, incomplete resection, benign appearance, obturator kick, and ongoing haematuria.</w:t>
            </w:r>
          </w:p>
        </w:tc>
      </w:tr>
      <w:tr w:rsidR="00D33466" w:rsidTr="001A44C0">
        <w:trPr>
          <w:trHeight w:val="300"/>
        </w:trPr>
        <w:tc>
          <w:tcPr>
            <w:tcW w:w="10348" w:type="dxa"/>
            <w:gridSpan w:val="2"/>
            <w:shd w:val="clear" w:color="auto" w:fill="D0CECE" w:themeFill="background2" w:themeFillShade="E6"/>
          </w:tcPr>
          <w:p w:rsidR="00D33466" w:rsidRPr="001A44C0" w:rsidRDefault="00D33466" w:rsidP="00D33466">
            <w:pPr>
              <w:rPr>
                <w:rFonts w:ascii="Arial" w:eastAsia="Calibri" w:hAnsi="Arial" w:cs="Arial"/>
                <w:b/>
                <w:bCs/>
                <w:sz w:val="22"/>
                <w:szCs w:val="22"/>
              </w:rPr>
            </w:pPr>
            <w:r w:rsidRPr="001A44C0">
              <w:rPr>
                <w:rFonts w:ascii="Arial" w:eastAsia="Calibri" w:hAnsi="Arial" w:cs="Arial"/>
                <w:b/>
                <w:bCs/>
                <w:sz w:val="22"/>
                <w:szCs w:val="22"/>
              </w:rPr>
              <w:t>Conclusion:</w:t>
            </w:r>
          </w:p>
          <w:p w:rsidR="00D33466" w:rsidRPr="001A44C0" w:rsidRDefault="00D33466" w:rsidP="00D33466">
            <w:pPr>
              <w:rPr>
                <w:rFonts w:ascii="Arial" w:eastAsia="Calibri" w:hAnsi="Arial" w:cs="Arial"/>
                <w:color w:val="000000" w:themeColor="text1"/>
                <w:sz w:val="22"/>
                <w:szCs w:val="22"/>
                <w:lang w:val="en-GB"/>
              </w:rPr>
            </w:pPr>
            <w:r w:rsidRPr="001A44C0">
              <w:rPr>
                <w:rFonts w:ascii="Arial" w:eastAsia="Calibri" w:hAnsi="Arial" w:cs="Arial"/>
                <w:color w:val="000000" w:themeColor="text1"/>
                <w:sz w:val="22"/>
                <w:szCs w:val="22"/>
                <w:lang w:val="en-GB"/>
              </w:rPr>
              <w:t>Giving Mitomycin in theatre following TURBTs rather than on the ward reduced the time to Mitomycin and significantly increased the proportion receiving Mitomycin within 2 hours which may reduce tumour recurrence rate.</w:t>
            </w:r>
          </w:p>
        </w:tc>
      </w:tr>
    </w:tbl>
    <w:p w:rsidR="00D33466" w:rsidRDefault="00D33466" w:rsidP="00D33466"/>
    <w:tbl>
      <w:tblPr>
        <w:tblStyle w:val="TableGrid"/>
        <w:tblW w:w="10207" w:type="dxa"/>
        <w:tblInd w:w="-431" w:type="dxa"/>
        <w:tblLayout w:type="fixed"/>
        <w:tblLook w:val="06A0" w:firstRow="1" w:lastRow="0" w:firstColumn="1" w:lastColumn="0" w:noHBand="1" w:noVBand="1"/>
      </w:tblPr>
      <w:tblGrid>
        <w:gridCol w:w="6641"/>
        <w:gridCol w:w="3566"/>
      </w:tblGrid>
      <w:tr w:rsidR="00D33466" w:rsidTr="001A44C0">
        <w:trPr>
          <w:trHeight w:val="300"/>
        </w:trPr>
        <w:tc>
          <w:tcPr>
            <w:tcW w:w="6641" w:type="dxa"/>
          </w:tcPr>
          <w:p w:rsidR="00D33466" w:rsidRDefault="00D33466" w:rsidP="00D33466">
            <w:pPr>
              <w:rPr>
                <w:rFonts w:ascii="Calibri" w:eastAsia="Calibri" w:hAnsi="Calibri" w:cs="Calibri"/>
                <w:b/>
                <w:bCs/>
                <w:sz w:val="22"/>
                <w:szCs w:val="22"/>
              </w:rPr>
            </w:pPr>
            <w:r w:rsidRPr="5A480574">
              <w:rPr>
                <w:rFonts w:ascii="Calibri" w:eastAsia="Calibri" w:hAnsi="Calibri" w:cs="Calibri"/>
                <w:b/>
                <w:bCs/>
                <w:sz w:val="22"/>
                <w:szCs w:val="22"/>
              </w:rPr>
              <w:t>Name of Presenter:</w:t>
            </w:r>
          </w:p>
          <w:p w:rsidR="00D33466" w:rsidRDefault="00D33466" w:rsidP="00D33466">
            <w:pPr>
              <w:rPr>
                <w:rFonts w:ascii="Calibri" w:eastAsia="Calibri" w:hAnsi="Calibri" w:cs="Calibri"/>
                <w:sz w:val="22"/>
                <w:szCs w:val="22"/>
              </w:rPr>
            </w:pPr>
            <w:r w:rsidRPr="5A480574">
              <w:rPr>
                <w:rFonts w:ascii="Calibri" w:eastAsia="Calibri" w:hAnsi="Calibri" w:cs="Calibri"/>
                <w:sz w:val="22"/>
                <w:szCs w:val="22"/>
              </w:rPr>
              <w:t>Fraser Barbour</w:t>
            </w:r>
          </w:p>
        </w:tc>
        <w:tc>
          <w:tcPr>
            <w:tcW w:w="3566" w:type="dxa"/>
          </w:tcPr>
          <w:p w:rsidR="00D33466" w:rsidRDefault="00D33466" w:rsidP="00D33466">
            <w:pPr>
              <w:rPr>
                <w:rFonts w:ascii="Calibri" w:eastAsia="Calibri" w:hAnsi="Calibri" w:cs="Calibri"/>
                <w:b/>
                <w:bCs/>
                <w:sz w:val="22"/>
                <w:szCs w:val="22"/>
              </w:rPr>
            </w:pPr>
            <w:r w:rsidRPr="5A480574">
              <w:rPr>
                <w:rFonts w:ascii="Calibri" w:eastAsia="Calibri" w:hAnsi="Calibri" w:cs="Calibri"/>
                <w:b/>
                <w:bCs/>
                <w:sz w:val="22"/>
                <w:szCs w:val="22"/>
              </w:rPr>
              <w:t>Training grade/post:</w:t>
            </w:r>
          </w:p>
          <w:p w:rsidR="00D33466" w:rsidRDefault="00D33466" w:rsidP="00D33466">
            <w:pPr>
              <w:rPr>
                <w:rFonts w:ascii="Calibri" w:eastAsia="Calibri" w:hAnsi="Calibri" w:cs="Calibri"/>
                <w:sz w:val="22"/>
                <w:szCs w:val="22"/>
              </w:rPr>
            </w:pPr>
            <w:r w:rsidRPr="5A480574">
              <w:rPr>
                <w:rFonts w:ascii="Calibri" w:eastAsia="Calibri" w:hAnsi="Calibri" w:cs="Calibri"/>
                <w:sz w:val="22"/>
                <w:szCs w:val="22"/>
              </w:rPr>
              <w:t>SHO</w:t>
            </w:r>
          </w:p>
        </w:tc>
      </w:tr>
      <w:tr w:rsidR="00D33466" w:rsidTr="001A44C0">
        <w:trPr>
          <w:trHeight w:val="300"/>
        </w:trPr>
        <w:tc>
          <w:tcPr>
            <w:tcW w:w="10207" w:type="dxa"/>
            <w:gridSpan w:val="2"/>
          </w:tcPr>
          <w:p w:rsidR="00D33466" w:rsidRDefault="00D33466" w:rsidP="00D33466">
            <w:pPr>
              <w:rPr>
                <w:rFonts w:ascii="Calibri" w:eastAsia="Calibri" w:hAnsi="Calibri" w:cs="Calibri"/>
                <w:b/>
                <w:bCs/>
                <w:sz w:val="22"/>
                <w:szCs w:val="22"/>
              </w:rPr>
            </w:pPr>
            <w:r w:rsidRPr="5A480574">
              <w:rPr>
                <w:rFonts w:ascii="Calibri" w:eastAsia="Calibri" w:hAnsi="Calibri" w:cs="Calibri"/>
                <w:b/>
                <w:bCs/>
                <w:sz w:val="22"/>
                <w:szCs w:val="22"/>
              </w:rPr>
              <w:t>Institution:</w:t>
            </w:r>
          </w:p>
          <w:p w:rsidR="00D33466" w:rsidRDefault="00D33466" w:rsidP="00D33466">
            <w:pPr>
              <w:rPr>
                <w:rFonts w:ascii="Calibri" w:eastAsia="Calibri" w:hAnsi="Calibri" w:cs="Calibri"/>
                <w:sz w:val="22"/>
                <w:szCs w:val="22"/>
              </w:rPr>
            </w:pPr>
            <w:r w:rsidRPr="6AD2C253">
              <w:rPr>
                <w:rFonts w:ascii="Calibri" w:eastAsia="Calibri" w:hAnsi="Calibri" w:cs="Calibri"/>
                <w:sz w:val="22"/>
                <w:szCs w:val="22"/>
              </w:rPr>
              <w:t>Sunderland Royal Hospital</w:t>
            </w:r>
          </w:p>
        </w:tc>
      </w:tr>
      <w:tr w:rsidR="00D33466" w:rsidTr="001A44C0">
        <w:trPr>
          <w:trHeight w:val="300"/>
        </w:trPr>
        <w:tc>
          <w:tcPr>
            <w:tcW w:w="10207" w:type="dxa"/>
            <w:gridSpan w:val="2"/>
          </w:tcPr>
          <w:p w:rsidR="00D33466" w:rsidRDefault="00D33466" w:rsidP="00D33466">
            <w:pPr>
              <w:rPr>
                <w:rFonts w:ascii="Calibri" w:eastAsia="Calibri" w:hAnsi="Calibri" w:cs="Calibri"/>
                <w:b/>
                <w:bCs/>
                <w:sz w:val="22"/>
                <w:szCs w:val="22"/>
              </w:rPr>
            </w:pPr>
            <w:r w:rsidRPr="5A480574">
              <w:rPr>
                <w:rFonts w:ascii="Calibri" w:eastAsia="Calibri" w:hAnsi="Calibri" w:cs="Calibri"/>
                <w:b/>
                <w:bCs/>
                <w:sz w:val="22"/>
                <w:szCs w:val="22"/>
              </w:rPr>
              <w:t>Title of Presentation:</w:t>
            </w:r>
          </w:p>
          <w:p w:rsidR="00D33466" w:rsidRPr="001A44C0" w:rsidRDefault="00D33466" w:rsidP="00D33466">
            <w:pPr>
              <w:rPr>
                <w:rFonts w:ascii="Calibri" w:eastAsia="Calibri" w:hAnsi="Calibri" w:cs="Calibri"/>
                <w:color w:val="000000" w:themeColor="text1"/>
                <w:sz w:val="22"/>
                <w:szCs w:val="22"/>
              </w:rPr>
            </w:pPr>
            <w:r w:rsidRPr="7D92EDBC">
              <w:rPr>
                <w:rFonts w:ascii="Calibri" w:eastAsia="Calibri" w:hAnsi="Calibri" w:cs="Calibri"/>
                <w:color w:val="000000" w:themeColor="text1"/>
                <w:sz w:val="22"/>
                <w:szCs w:val="22"/>
              </w:rPr>
              <w:t>Assessing the Novel ‘</w:t>
            </w:r>
            <w:proofErr w:type="spellStart"/>
            <w:r w:rsidRPr="7D92EDBC">
              <w:rPr>
                <w:rFonts w:ascii="Calibri" w:eastAsia="Calibri" w:hAnsi="Calibri" w:cs="Calibri"/>
                <w:color w:val="000000" w:themeColor="text1"/>
                <w:sz w:val="22"/>
                <w:szCs w:val="22"/>
              </w:rPr>
              <w:t>ClearPetra</w:t>
            </w:r>
            <w:proofErr w:type="spellEnd"/>
            <w:r w:rsidRPr="7D92EDBC">
              <w:rPr>
                <w:rFonts w:ascii="Calibri" w:eastAsia="Calibri" w:hAnsi="Calibri" w:cs="Calibri"/>
                <w:color w:val="000000" w:themeColor="text1"/>
                <w:sz w:val="22"/>
                <w:szCs w:val="22"/>
              </w:rPr>
              <w:t>’ Suction Ureteral Access Sheath During Renal Stone Surgery</w:t>
            </w:r>
          </w:p>
        </w:tc>
      </w:tr>
      <w:tr w:rsidR="00D33466" w:rsidTr="001A44C0">
        <w:trPr>
          <w:trHeight w:val="300"/>
        </w:trPr>
        <w:tc>
          <w:tcPr>
            <w:tcW w:w="10207" w:type="dxa"/>
            <w:gridSpan w:val="2"/>
          </w:tcPr>
          <w:p w:rsidR="00D33466" w:rsidRDefault="00D33466" w:rsidP="00D33466">
            <w:pPr>
              <w:rPr>
                <w:rFonts w:ascii="Calibri" w:eastAsia="Calibri" w:hAnsi="Calibri" w:cs="Calibri"/>
                <w:b/>
                <w:bCs/>
                <w:sz w:val="22"/>
                <w:szCs w:val="22"/>
              </w:rPr>
            </w:pPr>
            <w:r w:rsidRPr="5A480574">
              <w:rPr>
                <w:rFonts w:ascii="Calibri" w:eastAsia="Calibri" w:hAnsi="Calibri" w:cs="Calibri"/>
                <w:b/>
                <w:bCs/>
                <w:sz w:val="22"/>
                <w:szCs w:val="22"/>
              </w:rPr>
              <w:t>Authors:</w:t>
            </w:r>
          </w:p>
          <w:p w:rsidR="00D33466" w:rsidRDefault="00D33466" w:rsidP="00D33466">
            <w:pPr>
              <w:rPr>
                <w:rFonts w:ascii="Calibri" w:eastAsia="Calibri" w:hAnsi="Calibri" w:cs="Calibri"/>
                <w:color w:val="000000" w:themeColor="text1"/>
                <w:sz w:val="22"/>
                <w:szCs w:val="22"/>
              </w:rPr>
            </w:pPr>
            <w:r w:rsidRPr="7D92EDBC">
              <w:rPr>
                <w:rFonts w:ascii="Calibri" w:eastAsia="Calibri" w:hAnsi="Calibri" w:cs="Calibri"/>
                <w:color w:val="000000" w:themeColor="text1"/>
                <w:sz w:val="22"/>
                <w:szCs w:val="22"/>
              </w:rPr>
              <w:t>Fraser Barbour, Ken MacKenzie</w:t>
            </w:r>
          </w:p>
        </w:tc>
      </w:tr>
      <w:tr w:rsidR="00D33466" w:rsidTr="001A44C0">
        <w:trPr>
          <w:trHeight w:val="300"/>
        </w:trPr>
        <w:tc>
          <w:tcPr>
            <w:tcW w:w="10207" w:type="dxa"/>
            <w:gridSpan w:val="2"/>
            <w:shd w:val="clear" w:color="auto" w:fill="D0CECE" w:themeFill="background2" w:themeFillShade="E6"/>
          </w:tcPr>
          <w:p w:rsidR="00D33466" w:rsidRDefault="00D33466" w:rsidP="00D33466">
            <w:pPr>
              <w:rPr>
                <w:rFonts w:ascii="Calibri" w:eastAsia="Calibri" w:hAnsi="Calibri" w:cs="Calibri"/>
                <w:b/>
                <w:bCs/>
                <w:sz w:val="22"/>
                <w:szCs w:val="22"/>
              </w:rPr>
            </w:pPr>
            <w:r w:rsidRPr="3EA1A373">
              <w:rPr>
                <w:rFonts w:ascii="Calibri" w:eastAsia="Calibri" w:hAnsi="Calibri" w:cs="Calibri"/>
                <w:b/>
                <w:bCs/>
                <w:sz w:val="22"/>
                <w:szCs w:val="22"/>
              </w:rPr>
              <w:t>Aims:</w:t>
            </w:r>
          </w:p>
          <w:p w:rsidR="00D33466" w:rsidRDefault="00D33466" w:rsidP="00D33466">
            <w:pPr>
              <w:rPr>
                <w:rFonts w:ascii="Calibri" w:eastAsia="Calibri" w:hAnsi="Calibri" w:cs="Calibri"/>
                <w:color w:val="000000" w:themeColor="text1"/>
                <w:sz w:val="22"/>
                <w:szCs w:val="22"/>
                <w:lang w:val="en-GB"/>
              </w:rPr>
            </w:pPr>
            <w:r w:rsidRPr="1B9CBFDF">
              <w:rPr>
                <w:rFonts w:ascii="Calibri" w:eastAsia="Calibri" w:hAnsi="Calibri" w:cs="Calibri"/>
                <w:color w:val="000000" w:themeColor="text1"/>
                <w:sz w:val="22"/>
                <w:szCs w:val="22"/>
                <w:lang w:val="en-GB"/>
              </w:rPr>
              <w:t>New ureteral access sheaths which include suction aim to speed up the clearance of renal stones during flexible ureteroscopy, help avoid the use of expensive baskets and reduce intra-renal pressure. This single-centre audit aims to assess the initial results from one such suction access sheath ‘</w:t>
            </w:r>
            <w:proofErr w:type="spellStart"/>
            <w:r w:rsidRPr="1B9CBFDF">
              <w:rPr>
                <w:rFonts w:ascii="Calibri" w:eastAsia="Calibri" w:hAnsi="Calibri" w:cs="Calibri"/>
                <w:color w:val="000000" w:themeColor="text1"/>
                <w:sz w:val="22"/>
                <w:szCs w:val="22"/>
                <w:lang w:val="en-GB"/>
              </w:rPr>
              <w:t>ClearPetra</w:t>
            </w:r>
            <w:proofErr w:type="spellEnd"/>
            <w:r w:rsidRPr="1B9CBFDF">
              <w:rPr>
                <w:rFonts w:ascii="Calibri" w:eastAsia="Calibri" w:hAnsi="Calibri" w:cs="Calibri"/>
                <w:color w:val="000000" w:themeColor="text1"/>
                <w:sz w:val="22"/>
                <w:szCs w:val="22"/>
                <w:lang w:val="en-GB"/>
              </w:rPr>
              <w:t>’.</w:t>
            </w:r>
          </w:p>
        </w:tc>
      </w:tr>
      <w:tr w:rsidR="00D33466" w:rsidTr="001A44C0">
        <w:trPr>
          <w:trHeight w:val="300"/>
        </w:trPr>
        <w:tc>
          <w:tcPr>
            <w:tcW w:w="10207" w:type="dxa"/>
            <w:gridSpan w:val="2"/>
            <w:shd w:val="clear" w:color="auto" w:fill="D0CECE" w:themeFill="background2" w:themeFillShade="E6"/>
          </w:tcPr>
          <w:p w:rsidR="00D33466" w:rsidRDefault="00D33466" w:rsidP="00D33466">
            <w:pPr>
              <w:rPr>
                <w:rFonts w:ascii="Calibri" w:eastAsia="Calibri" w:hAnsi="Calibri" w:cs="Calibri"/>
                <w:b/>
                <w:bCs/>
                <w:sz w:val="22"/>
                <w:szCs w:val="22"/>
              </w:rPr>
            </w:pPr>
            <w:r w:rsidRPr="3EA1A373">
              <w:rPr>
                <w:rFonts w:ascii="Calibri" w:eastAsia="Calibri" w:hAnsi="Calibri" w:cs="Calibri"/>
                <w:b/>
                <w:bCs/>
                <w:sz w:val="22"/>
                <w:szCs w:val="22"/>
              </w:rPr>
              <w:t>Methods:</w:t>
            </w:r>
          </w:p>
          <w:p w:rsidR="00D33466" w:rsidRDefault="00D33466" w:rsidP="00D33466">
            <w:pPr>
              <w:rPr>
                <w:rFonts w:ascii="Calibri" w:eastAsia="Calibri" w:hAnsi="Calibri" w:cs="Calibri"/>
                <w:color w:val="000000" w:themeColor="text1"/>
                <w:sz w:val="22"/>
                <w:szCs w:val="22"/>
                <w:lang w:val="en-GB"/>
              </w:rPr>
            </w:pPr>
            <w:r w:rsidRPr="7D92EDBC">
              <w:rPr>
                <w:rFonts w:ascii="Calibri" w:eastAsia="Calibri" w:hAnsi="Calibri" w:cs="Calibri"/>
                <w:color w:val="000000" w:themeColor="text1"/>
                <w:sz w:val="22"/>
                <w:szCs w:val="22"/>
                <w:lang w:val="en-GB"/>
              </w:rPr>
              <w:t xml:space="preserve">Over 2-months flexible ureteroscopies for renal stones in which ureteral access sheath were used were prospectively recorded. Data on type of access sheath used, stone burden, laser fragmentation method, whether a basket was used, operative time, and complications were recorded. </w:t>
            </w:r>
          </w:p>
        </w:tc>
      </w:tr>
      <w:tr w:rsidR="00D33466" w:rsidTr="001A44C0">
        <w:trPr>
          <w:trHeight w:val="300"/>
        </w:trPr>
        <w:tc>
          <w:tcPr>
            <w:tcW w:w="10207" w:type="dxa"/>
            <w:gridSpan w:val="2"/>
            <w:shd w:val="clear" w:color="auto" w:fill="D0CECE" w:themeFill="background2" w:themeFillShade="E6"/>
          </w:tcPr>
          <w:p w:rsidR="00D33466" w:rsidRDefault="00D33466" w:rsidP="00D33466">
            <w:pPr>
              <w:rPr>
                <w:rFonts w:ascii="Calibri" w:eastAsia="Calibri" w:hAnsi="Calibri" w:cs="Calibri"/>
                <w:b/>
                <w:bCs/>
                <w:sz w:val="22"/>
                <w:szCs w:val="22"/>
              </w:rPr>
            </w:pPr>
            <w:r w:rsidRPr="3EA1A373">
              <w:rPr>
                <w:rFonts w:ascii="Calibri" w:eastAsia="Calibri" w:hAnsi="Calibri" w:cs="Calibri"/>
                <w:b/>
                <w:bCs/>
                <w:sz w:val="22"/>
                <w:szCs w:val="22"/>
              </w:rPr>
              <w:t>Results:</w:t>
            </w:r>
          </w:p>
          <w:p w:rsidR="00D33466" w:rsidRDefault="00D33466" w:rsidP="00D33466">
            <w:pPr>
              <w:rPr>
                <w:rFonts w:ascii="Calibri" w:eastAsia="Calibri" w:hAnsi="Calibri" w:cs="Calibri"/>
                <w:color w:val="000000" w:themeColor="text1"/>
                <w:sz w:val="22"/>
                <w:szCs w:val="22"/>
                <w:lang w:val="en-GB"/>
              </w:rPr>
            </w:pPr>
            <w:r w:rsidRPr="7D92EDBC">
              <w:rPr>
                <w:rFonts w:ascii="Calibri" w:eastAsia="Calibri" w:hAnsi="Calibri" w:cs="Calibri"/>
                <w:color w:val="000000" w:themeColor="text1"/>
                <w:sz w:val="22"/>
                <w:szCs w:val="22"/>
                <w:lang w:val="en-GB"/>
              </w:rPr>
              <w:t>37 patients underwent flexible ureteroscopy for renal stones in which an access sheath was used from 22</w:t>
            </w:r>
            <w:r w:rsidRPr="7D92EDBC">
              <w:rPr>
                <w:rFonts w:ascii="Calibri" w:eastAsia="Calibri" w:hAnsi="Calibri" w:cs="Calibri"/>
                <w:color w:val="000000" w:themeColor="text1"/>
                <w:sz w:val="22"/>
                <w:szCs w:val="22"/>
                <w:vertAlign w:val="superscript"/>
                <w:lang w:val="en-GB"/>
              </w:rPr>
              <w:t>nd</w:t>
            </w:r>
            <w:r w:rsidRPr="7D92EDBC">
              <w:rPr>
                <w:rFonts w:ascii="Calibri" w:eastAsia="Calibri" w:hAnsi="Calibri" w:cs="Calibri"/>
                <w:color w:val="000000" w:themeColor="text1"/>
                <w:sz w:val="22"/>
                <w:szCs w:val="22"/>
                <w:lang w:val="en-GB"/>
              </w:rPr>
              <w:t xml:space="preserve"> July – 27</w:t>
            </w:r>
            <w:r w:rsidRPr="7D92EDBC">
              <w:rPr>
                <w:rFonts w:ascii="Calibri" w:eastAsia="Calibri" w:hAnsi="Calibri" w:cs="Calibri"/>
                <w:color w:val="000000" w:themeColor="text1"/>
                <w:sz w:val="22"/>
                <w:szCs w:val="22"/>
                <w:vertAlign w:val="superscript"/>
                <w:lang w:val="en-GB"/>
              </w:rPr>
              <w:t>th</w:t>
            </w:r>
            <w:r w:rsidRPr="7D92EDBC">
              <w:rPr>
                <w:rFonts w:ascii="Calibri" w:eastAsia="Calibri" w:hAnsi="Calibri" w:cs="Calibri"/>
                <w:color w:val="000000" w:themeColor="text1"/>
                <w:sz w:val="22"/>
                <w:szCs w:val="22"/>
                <w:lang w:val="en-GB"/>
              </w:rPr>
              <w:t xml:space="preserve"> September 2024. In 16 of these </w:t>
            </w:r>
            <w:proofErr w:type="spellStart"/>
            <w:r w:rsidRPr="7D92EDBC">
              <w:rPr>
                <w:rFonts w:ascii="Calibri" w:eastAsia="Calibri" w:hAnsi="Calibri" w:cs="Calibri"/>
                <w:color w:val="000000" w:themeColor="text1"/>
                <w:sz w:val="22"/>
                <w:szCs w:val="22"/>
                <w:lang w:val="en-GB"/>
              </w:rPr>
              <w:t>ClearPetra</w:t>
            </w:r>
            <w:proofErr w:type="spellEnd"/>
            <w:r w:rsidRPr="7D92EDBC">
              <w:rPr>
                <w:rFonts w:ascii="Calibri" w:eastAsia="Calibri" w:hAnsi="Calibri" w:cs="Calibri"/>
                <w:color w:val="000000" w:themeColor="text1"/>
                <w:sz w:val="22"/>
                <w:szCs w:val="22"/>
                <w:lang w:val="en-GB"/>
              </w:rPr>
              <w:t xml:space="preserve"> access sheaths were used. 11 of these 16 patients had been pre-stented. The average operation time in the </w:t>
            </w:r>
            <w:proofErr w:type="spellStart"/>
            <w:r w:rsidRPr="7D92EDBC">
              <w:rPr>
                <w:rFonts w:ascii="Calibri" w:eastAsia="Calibri" w:hAnsi="Calibri" w:cs="Calibri"/>
                <w:color w:val="000000" w:themeColor="text1"/>
                <w:sz w:val="22"/>
                <w:szCs w:val="22"/>
                <w:lang w:val="en-GB"/>
              </w:rPr>
              <w:t>ClearPetra</w:t>
            </w:r>
            <w:proofErr w:type="spellEnd"/>
            <w:r w:rsidRPr="7D92EDBC">
              <w:rPr>
                <w:rFonts w:ascii="Calibri" w:eastAsia="Calibri" w:hAnsi="Calibri" w:cs="Calibri"/>
                <w:color w:val="000000" w:themeColor="text1"/>
                <w:sz w:val="22"/>
                <w:szCs w:val="22"/>
                <w:lang w:val="en-GB"/>
              </w:rPr>
              <w:t xml:space="preserve"> group was 96 minutes, compared to 68 minutes for the 21 cases using other access sheaths. Complete stone clearance was achieved in 11/16 </w:t>
            </w:r>
            <w:proofErr w:type="spellStart"/>
            <w:r w:rsidRPr="7D92EDBC">
              <w:rPr>
                <w:rFonts w:ascii="Calibri" w:eastAsia="Calibri" w:hAnsi="Calibri" w:cs="Calibri"/>
                <w:color w:val="000000" w:themeColor="text1"/>
                <w:sz w:val="22"/>
                <w:szCs w:val="22"/>
                <w:lang w:val="en-GB"/>
              </w:rPr>
              <w:t>ClearPetra</w:t>
            </w:r>
            <w:proofErr w:type="spellEnd"/>
            <w:r w:rsidRPr="7D92EDBC">
              <w:rPr>
                <w:rFonts w:ascii="Calibri" w:eastAsia="Calibri" w:hAnsi="Calibri" w:cs="Calibri"/>
                <w:color w:val="000000" w:themeColor="text1"/>
                <w:sz w:val="22"/>
                <w:szCs w:val="22"/>
                <w:lang w:val="en-GB"/>
              </w:rPr>
              <w:t xml:space="preserve"> cases (69%), and 16/21 of the other group (76%). A basket was required in just 2 </w:t>
            </w:r>
            <w:proofErr w:type="spellStart"/>
            <w:r w:rsidRPr="7D92EDBC">
              <w:rPr>
                <w:rFonts w:ascii="Calibri" w:eastAsia="Calibri" w:hAnsi="Calibri" w:cs="Calibri"/>
                <w:color w:val="000000" w:themeColor="text1"/>
                <w:sz w:val="22"/>
                <w:szCs w:val="22"/>
                <w:lang w:val="en-GB"/>
              </w:rPr>
              <w:t>ClearPetra</w:t>
            </w:r>
            <w:proofErr w:type="spellEnd"/>
            <w:r w:rsidRPr="7D92EDBC">
              <w:rPr>
                <w:rFonts w:ascii="Calibri" w:eastAsia="Calibri" w:hAnsi="Calibri" w:cs="Calibri"/>
                <w:color w:val="000000" w:themeColor="text1"/>
                <w:sz w:val="22"/>
                <w:szCs w:val="22"/>
                <w:lang w:val="en-GB"/>
              </w:rPr>
              <w:t xml:space="preserve"> cases, whereas baskets were used in 19 of the other cases. Post-operatively, 1 </w:t>
            </w:r>
            <w:proofErr w:type="spellStart"/>
            <w:r w:rsidRPr="7D92EDBC">
              <w:rPr>
                <w:rFonts w:ascii="Calibri" w:eastAsia="Calibri" w:hAnsi="Calibri" w:cs="Calibri"/>
                <w:color w:val="000000" w:themeColor="text1"/>
                <w:sz w:val="22"/>
                <w:szCs w:val="22"/>
                <w:lang w:val="en-GB"/>
              </w:rPr>
              <w:t>ClearPetra</w:t>
            </w:r>
            <w:proofErr w:type="spellEnd"/>
            <w:r w:rsidRPr="7D92EDBC">
              <w:rPr>
                <w:rFonts w:ascii="Calibri" w:eastAsia="Calibri" w:hAnsi="Calibri" w:cs="Calibri"/>
                <w:color w:val="000000" w:themeColor="text1"/>
                <w:sz w:val="22"/>
                <w:szCs w:val="22"/>
                <w:lang w:val="en-GB"/>
              </w:rPr>
              <w:t xml:space="preserve"> patient attended A+E or was readmitted compared to 5 from the other group. </w:t>
            </w:r>
          </w:p>
        </w:tc>
      </w:tr>
      <w:tr w:rsidR="00D33466" w:rsidTr="001A44C0">
        <w:trPr>
          <w:trHeight w:val="300"/>
        </w:trPr>
        <w:tc>
          <w:tcPr>
            <w:tcW w:w="10207" w:type="dxa"/>
            <w:gridSpan w:val="2"/>
            <w:shd w:val="clear" w:color="auto" w:fill="D0CECE" w:themeFill="background2" w:themeFillShade="E6"/>
          </w:tcPr>
          <w:p w:rsidR="00D33466" w:rsidRDefault="00D33466" w:rsidP="00D33466">
            <w:pPr>
              <w:rPr>
                <w:rFonts w:ascii="Calibri" w:eastAsia="Calibri" w:hAnsi="Calibri" w:cs="Calibri"/>
                <w:b/>
                <w:bCs/>
                <w:sz w:val="22"/>
                <w:szCs w:val="22"/>
              </w:rPr>
            </w:pPr>
            <w:r w:rsidRPr="7D92EDBC">
              <w:rPr>
                <w:rFonts w:ascii="Calibri" w:eastAsia="Calibri" w:hAnsi="Calibri" w:cs="Calibri"/>
                <w:b/>
                <w:bCs/>
                <w:sz w:val="22"/>
                <w:szCs w:val="22"/>
              </w:rPr>
              <w:t>Conclusion:</w:t>
            </w:r>
          </w:p>
          <w:p w:rsidR="00D33466" w:rsidRDefault="00D33466" w:rsidP="00D33466">
            <w:pPr>
              <w:rPr>
                <w:rFonts w:ascii="Calibri" w:eastAsia="Calibri" w:hAnsi="Calibri" w:cs="Calibri"/>
                <w:color w:val="000000" w:themeColor="text1"/>
                <w:sz w:val="22"/>
                <w:szCs w:val="22"/>
                <w:lang w:val="en-GB"/>
              </w:rPr>
            </w:pPr>
            <w:r w:rsidRPr="7D92EDBC">
              <w:rPr>
                <w:rFonts w:ascii="Calibri" w:eastAsia="Calibri" w:hAnsi="Calibri" w:cs="Calibri"/>
                <w:color w:val="000000" w:themeColor="text1"/>
                <w:sz w:val="22"/>
                <w:szCs w:val="22"/>
                <w:lang w:val="en-GB"/>
              </w:rPr>
              <w:t>The data shows that suction access sheaths are safe in renal stone surgery and reduce the need for baskets. More research is needed to see how suction access sheaths affect the length of time of flexible ureteroscopy, types of cases in which they may be particularly useful, and assess longer-term outcomes.</w:t>
            </w:r>
          </w:p>
          <w:p w:rsidR="00D33466" w:rsidRDefault="00D33466" w:rsidP="00D33466">
            <w:pPr>
              <w:rPr>
                <w:rFonts w:ascii="Calibri" w:eastAsia="Calibri" w:hAnsi="Calibri" w:cs="Calibri"/>
                <w:sz w:val="22"/>
                <w:szCs w:val="22"/>
              </w:rPr>
            </w:pPr>
          </w:p>
        </w:tc>
      </w:tr>
    </w:tbl>
    <w:p w:rsidR="00D33466" w:rsidRDefault="00D33466" w:rsidP="00D33466"/>
    <w:p w:rsidR="00D33466" w:rsidRDefault="00D33466" w:rsidP="00D33466"/>
    <w:p w:rsidR="00D33466" w:rsidRDefault="00D33466" w:rsidP="00D334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8"/>
        <w:gridCol w:w="3528"/>
      </w:tblGrid>
      <w:tr w:rsidR="00D33466" w:rsidTr="001A44C0">
        <w:tc>
          <w:tcPr>
            <w:tcW w:w="5488" w:type="dxa"/>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pPr>
            <w:r>
              <w:rPr>
                <w:b/>
              </w:rPr>
              <w:t>Name of Presenter</w:t>
            </w:r>
            <w:r>
              <w:t xml:space="preserve">: </w:t>
            </w:r>
          </w:p>
          <w:p w:rsidR="00D33466" w:rsidRDefault="00D33466" w:rsidP="00D33466">
            <w:pPr>
              <w:spacing w:after="0" w:line="240" w:lineRule="auto"/>
            </w:pPr>
            <w:r>
              <w:t xml:space="preserve">Dr </w:t>
            </w:r>
            <w:proofErr w:type="spellStart"/>
            <w:r>
              <w:t>Farzaan</w:t>
            </w:r>
            <w:proofErr w:type="spellEnd"/>
            <w:r>
              <w:t xml:space="preserve"> Bhandari</w:t>
            </w:r>
          </w:p>
          <w:p w:rsidR="001A44C0" w:rsidRPr="00973B6A" w:rsidRDefault="001A44C0" w:rsidP="00D33466">
            <w:pPr>
              <w:spacing w:after="0" w:line="240" w:lineRule="auto"/>
            </w:pPr>
          </w:p>
        </w:tc>
        <w:tc>
          <w:tcPr>
            <w:tcW w:w="3528" w:type="dxa"/>
            <w:tcBorders>
              <w:top w:val="single" w:sz="4" w:space="0" w:color="auto"/>
              <w:left w:val="single" w:sz="4" w:space="0" w:color="auto"/>
              <w:bottom w:val="single" w:sz="4" w:space="0" w:color="auto"/>
              <w:right w:val="single" w:sz="4" w:space="0" w:color="auto"/>
            </w:tcBorders>
            <w:hideMark/>
          </w:tcPr>
          <w:p w:rsidR="00D33466" w:rsidRDefault="00D33466" w:rsidP="00D33466">
            <w:pPr>
              <w:spacing w:after="0" w:line="240" w:lineRule="auto"/>
            </w:pPr>
            <w:r>
              <w:rPr>
                <w:b/>
              </w:rPr>
              <w:t>Training grade/post</w:t>
            </w:r>
            <w:r>
              <w:t xml:space="preserve">: </w:t>
            </w:r>
          </w:p>
          <w:p w:rsidR="00D33466" w:rsidRDefault="00D33466" w:rsidP="00D33466">
            <w:pPr>
              <w:spacing w:after="0" w:line="240" w:lineRule="auto"/>
              <w:rPr>
                <w:rFonts w:cs="Times New Roman"/>
              </w:rPr>
            </w:pPr>
            <w:r>
              <w:t>Surgical Teaching Fellow</w:t>
            </w:r>
          </w:p>
        </w:tc>
      </w:tr>
      <w:tr w:rsidR="00D33466" w:rsidTr="001A44C0">
        <w:tc>
          <w:tcPr>
            <w:tcW w:w="9016" w:type="dxa"/>
            <w:gridSpan w:val="2"/>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pPr>
            <w:r>
              <w:rPr>
                <w:b/>
              </w:rPr>
              <w:t>Institution</w:t>
            </w:r>
            <w:r>
              <w:t>:</w:t>
            </w:r>
          </w:p>
          <w:p w:rsidR="00D33466" w:rsidRDefault="00D33466" w:rsidP="00D33466">
            <w:pPr>
              <w:spacing w:after="0" w:line="240" w:lineRule="auto"/>
              <w:rPr>
                <w:rFonts w:cs="Times New Roman"/>
              </w:rPr>
            </w:pPr>
            <w:r>
              <w:rPr>
                <w:rFonts w:cs="Times New Roman"/>
              </w:rPr>
              <w:t>South Tyneside and Sunderland NHS Foundation Trust (STSFT)</w:t>
            </w:r>
          </w:p>
          <w:p w:rsidR="001A44C0" w:rsidRDefault="001A44C0" w:rsidP="00D33466">
            <w:pPr>
              <w:spacing w:after="0" w:line="240" w:lineRule="auto"/>
              <w:rPr>
                <w:rFonts w:cs="Times New Roman"/>
              </w:rPr>
            </w:pPr>
          </w:p>
        </w:tc>
      </w:tr>
      <w:tr w:rsidR="00D33466" w:rsidTr="001A44C0">
        <w:tc>
          <w:tcPr>
            <w:tcW w:w="9016" w:type="dxa"/>
            <w:gridSpan w:val="2"/>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pPr>
            <w:r>
              <w:rPr>
                <w:b/>
              </w:rPr>
              <w:t>Title of Presentation</w:t>
            </w:r>
            <w:r>
              <w:t>:</w:t>
            </w:r>
          </w:p>
          <w:p w:rsidR="00D33466" w:rsidRDefault="00D33466" w:rsidP="00D33466">
            <w:pPr>
              <w:spacing w:after="0" w:line="240" w:lineRule="auto"/>
              <w:rPr>
                <w:rFonts w:cs="Times New Roman"/>
              </w:rPr>
            </w:pPr>
            <w:r>
              <w:rPr>
                <w:rFonts w:cs="Times New Roman"/>
              </w:rPr>
              <w:t>O</w:t>
            </w:r>
            <w:r w:rsidRPr="00973B6A">
              <w:rPr>
                <w:rFonts w:cs="Times New Roman"/>
              </w:rPr>
              <w:t>ne</w:t>
            </w:r>
            <w:r>
              <w:rPr>
                <w:rFonts w:cs="Times New Roman"/>
              </w:rPr>
              <w:t>-S</w:t>
            </w:r>
            <w:r w:rsidRPr="00973B6A">
              <w:rPr>
                <w:rFonts w:cs="Times New Roman"/>
              </w:rPr>
              <w:t xml:space="preserve">top </w:t>
            </w:r>
            <w:r>
              <w:rPr>
                <w:rFonts w:cs="Times New Roman"/>
              </w:rPr>
              <w:t>Clinic for Lower Urinary Tract Symptoms</w:t>
            </w:r>
            <w:r w:rsidRPr="00973B6A">
              <w:rPr>
                <w:rFonts w:cs="Times New Roman"/>
              </w:rPr>
              <w:t xml:space="preserve"> </w:t>
            </w:r>
            <w:r>
              <w:rPr>
                <w:rFonts w:cs="Times New Roman"/>
              </w:rPr>
              <w:t>(LUTS) –</w:t>
            </w:r>
            <w:r w:rsidRPr="00973B6A">
              <w:rPr>
                <w:rFonts w:cs="Times New Roman"/>
              </w:rPr>
              <w:t xml:space="preserve"> </w:t>
            </w:r>
            <w:r>
              <w:rPr>
                <w:rFonts w:cs="Times New Roman"/>
              </w:rPr>
              <w:t>C</w:t>
            </w:r>
            <w:r w:rsidRPr="00973B6A">
              <w:rPr>
                <w:rFonts w:cs="Times New Roman"/>
              </w:rPr>
              <w:t>omplete</w:t>
            </w:r>
            <w:r>
              <w:rPr>
                <w:rFonts w:cs="Times New Roman"/>
              </w:rPr>
              <w:t xml:space="preserve"> cycle</w:t>
            </w:r>
            <w:r w:rsidRPr="00973B6A">
              <w:rPr>
                <w:rFonts w:cs="Times New Roman"/>
              </w:rPr>
              <w:t xml:space="preserve"> </w:t>
            </w:r>
            <w:r>
              <w:rPr>
                <w:rFonts w:cs="Times New Roman"/>
              </w:rPr>
              <w:t>Q</w:t>
            </w:r>
            <w:r w:rsidRPr="00973B6A">
              <w:rPr>
                <w:rFonts w:cs="Times New Roman"/>
              </w:rPr>
              <w:t xml:space="preserve">uality </w:t>
            </w:r>
            <w:r>
              <w:rPr>
                <w:rFonts w:cs="Times New Roman"/>
              </w:rPr>
              <w:t>I</w:t>
            </w:r>
            <w:r w:rsidRPr="00973B6A">
              <w:rPr>
                <w:rFonts w:cs="Times New Roman"/>
              </w:rPr>
              <w:t xml:space="preserve">mprovement </w:t>
            </w:r>
            <w:r>
              <w:rPr>
                <w:rFonts w:cs="Times New Roman"/>
              </w:rPr>
              <w:t>P</w:t>
            </w:r>
            <w:r w:rsidRPr="00973B6A">
              <w:rPr>
                <w:rFonts w:cs="Times New Roman"/>
              </w:rPr>
              <w:t>roject</w:t>
            </w:r>
            <w:r>
              <w:rPr>
                <w:rFonts w:cs="Times New Roman"/>
              </w:rPr>
              <w:t>.</w:t>
            </w:r>
          </w:p>
          <w:p w:rsidR="001A44C0" w:rsidRDefault="001A44C0" w:rsidP="00D33466">
            <w:pPr>
              <w:spacing w:after="0" w:line="240" w:lineRule="auto"/>
              <w:rPr>
                <w:rFonts w:cs="Times New Roman"/>
              </w:rPr>
            </w:pPr>
          </w:p>
        </w:tc>
      </w:tr>
      <w:tr w:rsidR="00D33466" w:rsidTr="001A44C0">
        <w:tc>
          <w:tcPr>
            <w:tcW w:w="9016" w:type="dxa"/>
            <w:gridSpan w:val="2"/>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pPr>
            <w:r>
              <w:rPr>
                <w:b/>
              </w:rPr>
              <w:t>Authors</w:t>
            </w:r>
            <w:r>
              <w:t>:</w:t>
            </w:r>
          </w:p>
          <w:p w:rsidR="00D33466" w:rsidRDefault="00D33466" w:rsidP="00D33466">
            <w:pPr>
              <w:spacing w:after="0" w:line="240" w:lineRule="auto"/>
            </w:pPr>
            <w:r>
              <w:t xml:space="preserve">Dr </w:t>
            </w:r>
            <w:proofErr w:type="spellStart"/>
            <w:r>
              <w:t>Farzaan</w:t>
            </w:r>
            <w:proofErr w:type="spellEnd"/>
            <w:r>
              <w:t xml:space="preserve"> Bhandari, Jacqueline </w:t>
            </w:r>
            <w:proofErr w:type="spellStart"/>
            <w:r>
              <w:t>Fada</w:t>
            </w:r>
            <w:proofErr w:type="spellEnd"/>
            <w:r>
              <w:t>, Mr Stuart McCracken, Mr Benjamin Jenkins, Mr Sidney Parker</w:t>
            </w:r>
          </w:p>
          <w:p w:rsidR="00D33466" w:rsidRDefault="00D33466" w:rsidP="00D33466">
            <w:pPr>
              <w:spacing w:after="0" w:line="240" w:lineRule="auto"/>
              <w:rPr>
                <w:rFonts w:cs="Times New Roman"/>
              </w:rPr>
            </w:pPr>
          </w:p>
        </w:tc>
      </w:tr>
      <w:tr w:rsidR="00D33466" w:rsidTr="001A44C0">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spacing w:after="0" w:line="240" w:lineRule="auto"/>
            </w:pPr>
            <w:r>
              <w:rPr>
                <w:b/>
              </w:rPr>
              <w:t>Aims</w:t>
            </w:r>
            <w:r>
              <w:t>:</w:t>
            </w:r>
          </w:p>
          <w:p w:rsidR="00D33466" w:rsidRDefault="00D33466" w:rsidP="00D33466">
            <w:pPr>
              <w:spacing w:after="0" w:line="240" w:lineRule="auto"/>
            </w:pPr>
            <w:r>
              <w:t>To improve the efficiency of the surgical management of patient with LUTS.</w:t>
            </w:r>
          </w:p>
          <w:p w:rsidR="001A44C0" w:rsidRDefault="001A44C0" w:rsidP="00D33466">
            <w:pPr>
              <w:spacing w:after="0" w:line="240" w:lineRule="auto"/>
              <w:rPr>
                <w:rFonts w:cs="Times New Roman"/>
              </w:rPr>
            </w:pPr>
          </w:p>
        </w:tc>
      </w:tr>
      <w:tr w:rsidR="00D33466" w:rsidTr="001A44C0">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spacing w:after="0" w:line="240" w:lineRule="auto"/>
            </w:pPr>
            <w:r>
              <w:rPr>
                <w:b/>
              </w:rPr>
              <w:t>Methods</w:t>
            </w:r>
            <w:r>
              <w:t>:</w:t>
            </w:r>
          </w:p>
          <w:p w:rsidR="00D33466" w:rsidRDefault="00D33466" w:rsidP="00D33466">
            <w:pPr>
              <w:spacing w:after="0" w:line="240" w:lineRule="auto"/>
            </w:pPr>
            <w:r>
              <w:t xml:space="preserve">The 120-patient undergoing Bladder Outflow Obstruction (BOO) </w:t>
            </w:r>
            <w:r w:rsidRPr="009F3F9B">
              <w:t xml:space="preserve">procedures in </w:t>
            </w:r>
            <w:r>
              <w:t xml:space="preserve">October 2022 </w:t>
            </w:r>
            <w:proofErr w:type="gramStart"/>
            <w:r>
              <w:t>were retrospectively assessed</w:t>
            </w:r>
            <w:proofErr w:type="gramEnd"/>
            <w:r>
              <w:t xml:space="preserve"> for the clinical effectiveness e.g. number of clinical encounters and waiting time from referral to being waiting-listed for surgery. A One-Stop LUTs clinic was implemented and prospectively assessed.</w:t>
            </w:r>
          </w:p>
          <w:p w:rsidR="00D33466" w:rsidRDefault="00D33466" w:rsidP="00D33466">
            <w:pPr>
              <w:spacing w:after="0" w:line="240" w:lineRule="auto"/>
              <w:rPr>
                <w:rFonts w:cs="Times New Roman"/>
              </w:rPr>
            </w:pPr>
          </w:p>
        </w:tc>
      </w:tr>
      <w:tr w:rsidR="00D33466" w:rsidTr="001A44C0">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spacing w:after="0" w:line="240" w:lineRule="auto"/>
            </w:pPr>
            <w:r>
              <w:rPr>
                <w:b/>
              </w:rPr>
              <w:t>Results</w:t>
            </w:r>
            <w:r>
              <w:t>:</w:t>
            </w:r>
          </w:p>
          <w:p w:rsidR="00D33466" w:rsidRDefault="00D33466" w:rsidP="00D33466">
            <w:pPr>
              <w:spacing w:after="0" w:line="240" w:lineRule="auto"/>
            </w:pPr>
            <w:r>
              <w:t>In the initial retrospective audit, patients had an average of 6.25 clinical encounters and waited 59 weeks to be listed for BOO surgery, 5% were listed from one visit.</w:t>
            </w:r>
          </w:p>
          <w:p w:rsidR="00D33466" w:rsidRDefault="00D33466" w:rsidP="00D33466">
            <w:pPr>
              <w:spacing w:after="0" w:line="240" w:lineRule="auto"/>
            </w:pPr>
          </w:p>
          <w:p w:rsidR="00D33466" w:rsidRDefault="00D33466" w:rsidP="00D33466">
            <w:pPr>
              <w:spacing w:after="0" w:line="240" w:lineRule="auto"/>
            </w:pPr>
            <w:r>
              <w:t xml:space="preserve">Since June 2024, 89% (n=25) of 28 patients have been managed in one clinical visit </w:t>
            </w:r>
            <w:r w:rsidRPr="009F3F9B">
              <w:t xml:space="preserve">by 8 weeks. Only </w:t>
            </w:r>
            <w:r>
              <w:t>three patients needed a second visit; two patients had prostate cancer excluded with an MRI, the third patient required recurrent UTI follow up. Eight patients were listed for BOO surgery and two for urethral strictures, 100% required only one visit compared to 5% previously.</w:t>
            </w:r>
          </w:p>
          <w:p w:rsidR="00D33466" w:rsidRDefault="00D33466" w:rsidP="00D33466">
            <w:pPr>
              <w:spacing w:after="0" w:line="240" w:lineRule="auto"/>
              <w:rPr>
                <w:rFonts w:cs="Times New Roman"/>
              </w:rPr>
            </w:pPr>
          </w:p>
        </w:tc>
      </w:tr>
      <w:tr w:rsidR="00D33466" w:rsidTr="001A44C0">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spacing w:after="0" w:line="240" w:lineRule="auto"/>
            </w:pPr>
            <w:r>
              <w:rPr>
                <w:b/>
              </w:rPr>
              <w:t>Conclusion</w:t>
            </w:r>
            <w:r>
              <w:t>:</w:t>
            </w:r>
          </w:p>
          <w:p w:rsidR="00D33466" w:rsidRDefault="00D33466" w:rsidP="00D33466">
            <w:pPr>
              <w:spacing w:after="0" w:line="240" w:lineRule="auto"/>
              <w:rPr>
                <w:rFonts w:cs="Times New Roman"/>
              </w:rPr>
            </w:pPr>
            <w:r>
              <w:t xml:space="preserve">The One-Stop LUTS clinic has reduced clinic encounters by 6 fold and time from referral to being waiting-listed by 7 fold. </w:t>
            </w:r>
            <w:r>
              <w:rPr>
                <w:rFonts w:cs="Times New Roman"/>
              </w:rPr>
              <w:t>We</w:t>
            </w:r>
            <w:r w:rsidRPr="00140012">
              <w:rPr>
                <w:rFonts w:cs="Times New Roman"/>
              </w:rPr>
              <w:t xml:space="preserve"> will </w:t>
            </w:r>
            <w:r>
              <w:rPr>
                <w:rFonts w:cs="Times New Roman"/>
              </w:rPr>
              <w:t>c</w:t>
            </w:r>
            <w:r w:rsidRPr="00140012">
              <w:rPr>
                <w:rFonts w:cs="Times New Roman"/>
              </w:rPr>
              <w:t>ontinue to prospectively maintain this database</w:t>
            </w:r>
            <w:r>
              <w:rPr>
                <w:rFonts w:cs="Times New Roman"/>
              </w:rPr>
              <w:t>.</w:t>
            </w:r>
          </w:p>
          <w:p w:rsidR="001A44C0" w:rsidRPr="00780520" w:rsidRDefault="001A44C0" w:rsidP="00D33466">
            <w:pPr>
              <w:spacing w:after="0" w:line="240" w:lineRule="auto"/>
            </w:pPr>
          </w:p>
        </w:tc>
      </w:tr>
    </w:tbl>
    <w:p w:rsidR="00D33466" w:rsidRDefault="00D33466" w:rsidP="00D33466"/>
    <w:p w:rsidR="00D33466" w:rsidRDefault="00D33466" w:rsidP="00D33466"/>
    <w:p w:rsidR="00D33466" w:rsidRDefault="00D33466" w:rsidP="00D33466"/>
    <w:p w:rsidR="00D33466" w:rsidRDefault="00D33466" w:rsidP="00D33466"/>
    <w:p w:rsidR="00D33466" w:rsidRDefault="00D33466" w:rsidP="00D33466"/>
    <w:p w:rsidR="00D33466" w:rsidRDefault="00D33466" w:rsidP="00D33466"/>
    <w:p w:rsidR="00D33466" w:rsidRDefault="00D33466" w:rsidP="00D334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4581"/>
      </w:tblGrid>
      <w:tr w:rsidR="00D33466" w:rsidTr="00D33466">
        <w:tc>
          <w:tcPr>
            <w:tcW w:w="3964" w:type="dxa"/>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rPr>
                <w:rFonts w:cs="Times New Roman"/>
              </w:rPr>
            </w:pPr>
            <w:r>
              <w:rPr>
                <w:b/>
              </w:rPr>
              <w:t>Name of Presenter</w:t>
            </w:r>
            <w:r>
              <w:t xml:space="preserve">: </w:t>
            </w:r>
            <w:r>
              <w:rPr>
                <w:rFonts w:cs="Times New Roman"/>
              </w:rPr>
              <w:t>G Ellis</w:t>
            </w:r>
          </w:p>
          <w:p w:rsidR="001A44C0" w:rsidRPr="00225CAB" w:rsidRDefault="001A44C0" w:rsidP="00D33466">
            <w:pPr>
              <w:spacing w:after="0" w:line="240" w:lineRule="auto"/>
            </w:pPr>
          </w:p>
        </w:tc>
        <w:tc>
          <w:tcPr>
            <w:tcW w:w="4581" w:type="dxa"/>
            <w:tcBorders>
              <w:top w:val="single" w:sz="4" w:space="0" w:color="auto"/>
              <w:left w:val="single" w:sz="4" w:space="0" w:color="auto"/>
              <w:bottom w:val="single" w:sz="4" w:space="0" w:color="auto"/>
              <w:right w:val="single" w:sz="4" w:space="0" w:color="auto"/>
            </w:tcBorders>
            <w:hideMark/>
          </w:tcPr>
          <w:p w:rsidR="00D33466" w:rsidRDefault="00D33466" w:rsidP="00D33466">
            <w:pPr>
              <w:spacing w:after="0" w:line="240" w:lineRule="auto"/>
              <w:rPr>
                <w:rFonts w:cs="Times New Roman"/>
              </w:rPr>
            </w:pPr>
            <w:r>
              <w:rPr>
                <w:b/>
              </w:rPr>
              <w:t>Training grade/post</w:t>
            </w:r>
            <w:r>
              <w:t>: Final Year Medical Student</w:t>
            </w:r>
          </w:p>
        </w:tc>
      </w:tr>
      <w:tr w:rsidR="00D33466" w:rsidTr="00D33466">
        <w:tc>
          <w:tcPr>
            <w:tcW w:w="8545" w:type="dxa"/>
            <w:gridSpan w:val="2"/>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pPr>
            <w:r>
              <w:rPr>
                <w:b/>
              </w:rPr>
              <w:t>Institution</w:t>
            </w:r>
            <w:r>
              <w:t>: QE/ Freeman Hospital</w:t>
            </w:r>
          </w:p>
          <w:p w:rsidR="001A44C0" w:rsidRPr="00BB0F44" w:rsidRDefault="001A44C0" w:rsidP="00D33466">
            <w:pPr>
              <w:spacing w:after="0" w:line="240" w:lineRule="auto"/>
            </w:pPr>
          </w:p>
        </w:tc>
      </w:tr>
      <w:tr w:rsidR="00D33466" w:rsidTr="00D33466">
        <w:tc>
          <w:tcPr>
            <w:tcW w:w="8545" w:type="dxa"/>
            <w:gridSpan w:val="2"/>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pPr>
            <w:r>
              <w:rPr>
                <w:b/>
              </w:rPr>
              <w:t>Title of Presentation</w:t>
            </w:r>
            <w:r>
              <w:t>:</w:t>
            </w:r>
          </w:p>
          <w:p w:rsidR="00D33466" w:rsidRDefault="00D33466" w:rsidP="00D33466">
            <w:pPr>
              <w:spacing w:after="0" w:line="240" w:lineRule="auto"/>
            </w:pPr>
            <w:r>
              <w:t>R</w:t>
            </w:r>
            <w:r w:rsidRPr="00EE64F5">
              <w:t>eview of patients referred via the 2-week-wait pathway with an elevated PSA</w:t>
            </w:r>
            <w:r>
              <w:t xml:space="preserve"> in a DGH.</w:t>
            </w:r>
          </w:p>
          <w:p w:rsidR="001A44C0" w:rsidRPr="00BB0F44" w:rsidRDefault="001A44C0" w:rsidP="00D33466">
            <w:pPr>
              <w:spacing w:after="0" w:line="240" w:lineRule="auto"/>
            </w:pPr>
          </w:p>
        </w:tc>
      </w:tr>
      <w:tr w:rsidR="00D33466" w:rsidTr="00D33466">
        <w:tc>
          <w:tcPr>
            <w:tcW w:w="8545" w:type="dxa"/>
            <w:gridSpan w:val="2"/>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pPr>
            <w:r>
              <w:rPr>
                <w:b/>
              </w:rPr>
              <w:t>Authors</w:t>
            </w:r>
            <w:r>
              <w:t xml:space="preserve">: G Ellis, M </w:t>
            </w:r>
            <w:proofErr w:type="spellStart"/>
            <w:r>
              <w:t>Rawat</w:t>
            </w:r>
            <w:proofErr w:type="spellEnd"/>
            <w:r>
              <w:t xml:space="preserve">, E </w:t>
            </w:r>
            <w:proofErr w:type="spellStart"/>
            <w:r>
              <w:t>Paez</w:t>
            </w:r>
            <w:proofErr w:type="spellEnd"/>
            <w:r>
              <w:t xml:space="preserve">, S Young and A </w:t>
            </w:r>
            <w:proofErr w:type="spellStart"/>
            <w:r>
              <w:t>O’Riordan</w:t>
            </w:r>
            <w:proofErr w:type="spellEnd"/>
          </w:p>
          <w:p w:rsidR="001A44C0" w:rsidRPr="00460924" w:rsidRDefault="001A44C0" w:rsidP="00D33466">
            <w:pPr>
              <w:spacing w:after="0" w:line="240" w:lineRule="auto"/>
            </w:pPr>
          </w:p>
        </w:tc>
      </w:tr>
      <w:tr w:rsidR="00D33466" w:rsidTr="00D33466">
        <w:tc>
          <w:tcPr>
            <w:tcW w:w="8545"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spacing w:after="0" w:line="240" w:lineRule="auto"/>
            </w:pPr>
            <w:r>
              <w:rPr>
                <w:b/>
              </w:rPr>
              <w:t>Aims</w:t>
            </w:r>
            <w:r>
              <w:t>:</w:t>
            </w:r>
          </w:p>
          <w:p w:rsidR="00D33466" w:rsidRDefault="00D33466" w:rsidP="00D33466">
            <w:pPr>
              <w:spacing w:after="0" w:line="240" w:lineRule="auto"/>
            </w:pPr>
            <w:r>
              <w:t>I</w:t>
            </w:r>
            <w:r w:rsidRPr="00411CE4">
              <w:t>n 2019,</w:t>
            </w:r>
            <w:r>
              <w:t xml:space="preserve"> </w:t>
            </w:r>
            <w:proofErr w:type="spellStart"/>
            <w:r>
              <w:t>mp</w:t>
            </w:r>
            <w:r w:rsidRPr="00411CE4">
              <w:t>MRI</w:t>
            </w:r>
            <w:proofErr w:type="spellEnd"/>
            <w:r w:rsidRPr="00411CE4">
              <w:t xml:space="preserve"> was introduced</w:t>
            </w:r>
            <w:r>
              <w:t xml:space="preserve"> as first line investigation for men with raised PSA. </w:t>
            </w:r>
            <w:r w:rsidRPr="00411CE4">
              <w:t>Th</w:t>
            </w:r>
            <w:r>
              <w:t>e</w:t>
            </w:r>
            <w:r w:rsidRPr="00411CE4">
              <w:t xml:space="preserve"> outcomes of a 2024 cohort </w:t>
            </w:r>
            <w:proofErr w:type="gramStart"/>
            <w:r>
              <w:t>is compared</w:t>
            </w:r>
            <w:proofErr w:type="gramEnd"/>
            <w:r w:rsidRPr="00411CE4">
              <w:t xml:space="preserve"> to </w:t>
            </w:r>
            <w:r>
              <w:t>a</w:t>
            </w:r>
            <w:r w:rsidRPr="00411CE4">
              <w:t xml:space="preserve"> 2014 </w:t>
            </w:r>
            <w:r>
              <w:t>cohort. We</w:t>
            </w:r>
            <w:r w:rsidRPr="00EE64EE">
              <w:t xml:space="preserve"> </w:t>
            </w:r>
            <w:proofErr w:type="gramStart"/>
            <w:r>
              <w:t>assess:</w:t>
            </w:r>
            <w:proofErr w:type="gramEnd"/>
            <w:r>
              <w:t xml:space="preserve"> </w:t>
            </w:r>
            <w:r w:rsidRPr="00EE64EE">
              <w:t>how many</w:t>
            </w:r>
            <w:r>
              <w:t xml:space="preserve"> avoided prostate biopsy, cancer detection rate</w:t>
            </w:r>
            <w:r w:rsidRPr="00EE64EE">
              <w:t xml:space="preserve"> (especially </w:t>
            </w:r>
            <w:r>
              <w:t>Gleason grade 7 or higher</w:t>
            </w:r>
            <w:r w:rsidRPr="00EE64EE">
              <w:t>)</w:t>
            </w:r>
            <w:r>
              <w:t xml:space="preserve"> and t</w:t>
            </w:r>
            <w:r w:rsidRPr="00EE64EE">
              <w:t>he outcomes of</w:t>
            </w:r>
            <w:r>
              <w:t xml:space="preserve"> biopsied</w:t>
            </w:r>
            <w:r w:rsidRPr="00EE64EE">
              <w:t xml:space="preserve"> PIRADS 3 </w:t>
            </w:r>
            <w:r>
              <w:t>lesions.</w:t>
            </w:r>
          </w:p>
          <w:p w:rsidR="001A44C0" w:rsidRDefault="001A44C0" w:rsidP="00D33466">
            <w:pPr>
              <w:spacing w:after="0" w:line="240" w:lineRule="auto"/>
            </w:pPr>
          </w:p>
          <w:p w:rsidR="001A44C0" w:rsidRPr="00460924" w:rsidRDefault="001A44C0" w:rsidP="00D33466">
            <w:pPr>
              <w:spacing w:after="0" w:line="240" w:lineRule="auto"/>
            </w:pPr>
          </w:p>
        </w:tc>
      </w:tr>
      <w:tr w:rsidR="00D33466" w:rsidTr="00D33466">
        <w:tc>
          <w:tcPr>
            <w:tcW w:w="8545"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spacing w:after="0" w:line="240" w:lineRule="auto"/>
            </w:pPr>
            <w:r>
              <w:rPr>
                <w:b/>
              </w:rPr>
              <w:t>Methods</w:t>
            </w:r>
            <w:r>
              <w:t>:</w:t>
            </w:r>
          </w:p>
          <w:p w:rsidR="00D33466" w:rsidRDefault="00D33466" w:rsidP="00D33466">
            <w:pPr>
              <w:spacing w:after="0" w:line="240" w:lineRule="auto"/>
            </w:pPr>
            <w:r>
              <w:t xml:space="preserve">This </w:t>
            </w:r>
            <w:r w:rsidRPr="00422302">
              <w:t xml:space="preserve">audit </w:t>
            </w:r>
            <w:r>
              <w:t xml:space="preserve">retrospectively </w:t>
            </w:r>
            <w:r w:rsidRPr="00422302">
              <w:t xml:space="preserve">examined 100 </w:t>
            </w:r>
            <w:r>
              <w:t>patients between l</w:t>
            </w:r>
            <w:r w:rsidRPr="00422302">
              <w:t xml:space="preserve">ate 2023 and early 2024. We </w:t>
            </w:r>
            <w:r>
              <w:t xml:space="preserve">examined: </w:t>
            </w:r>
            <w:r w:rsidRPr="00422302">
              <w:t xml:space="preserve">patients’ ages, PSA densities, PIRADS score, </w:t>
            </w:r>
            <w:r>
              <w:t xml:space="preserve">histology, </w:t>
            </w:r>
            <w:r w:rsidRPr="00422302">
              <w:t>treatments offered</w:t>
            </w:r>
            <w:r>
              <w:t xml:space="preserve"> and the outcome of biopsied </w:t>
            </w:r>
            <w:r w:rsidRPr="00422302">
              <w:t>PIRADS 3</w:t>
            </w:r>
            <w:r>
              <w:t xml:space="preserve"> lesions</w:t>
            </w:r>
            <w:r w:rsidRPr="00422302">
              <w:t>.</w:t>
            </w:r>
          </w:p>
          <w:p w:rsidR="001A44C0" w:rsidRDefault="001A44C0" w:rsidP="00D33466">
            <w:pPr>
              <w:spacing w:after="0" w:line="240" w:lineRule="auto"/>
            </w:pPr>
          </w:p>
          <w:p w:rsidR="001A44C0" w:rsidRPr="00195DB3" w:rsidRDefault="001A44C0" w:rsidP="00D33466">
            <w:pPr>
              <w:spacing w:after="0" w:line="240" w:lineRule="auto"/>
            </w:pPr>
          </w:p>
        </w:tc>
      </w:tr>
      <w:tr w:rsidR="00D33466" w:rsidTr="00D33466">
        <w:tc>
          <w:tcPr>
            <w:tcW w:w="8545"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spacing w:after="0" w:line="240" w:lineRule="auto"/>
            </w:pPr>
            <w:r>
              <w:rPr>
                <w:b/>
              </w:rPr>
              <w:t>Results</w:t>
            </w:r>
            <w:r>
              <w:t>:</w:t>
            </w:r>
          </w:p>
          <w:p w:rsidR="00D33466" w:rsidRDefault="00D33466" w:rsidP="00D33466">
            <w:pPr>
              <w:spacing w:after="0" w:line="240" w:lineRule="auto"/>
            </w:pPr>
            <w:r w:rsidRPr="00ED5B4D">
              <w:t>39</w:t>
            </w:r>
            <w:r>
              <w:t xml:space="preserve"> /</w:t>
            </w:r>
            <w:r w:rsidRPr="00ED5B4D">
              <w:t xml:space="preserve"> 100</w:t>
            </w:r>
            <w:r>
              <w:t xml:space="preserve"> patients</w:t>
            </w:r>
            <w:r w:rsidRPr="00ED5B4D">
              <w:t xml:space="preserve"> </w:t>
            </w:r>
            <w:r>
              <w:t>avoided prostate biopsy. O</w:t>
            </w:r>
            <w:r w:rsidRPr="00ED5B4D">
              <w:t>f the 61 patients who</w:t>
            </w:r>
            <w:r>
              <w:t xml:space="preserve"> had </w:t>
            </w:r>
            <w:r w:rsidRPr="00ED5B4D">
              <w:t xml:space="preserve">biopsy, </w:t>
            </w:r>
            <w:r>
              <w:t>75%</w:t>
            </w:r>
            <w:r w:rsidRPr="00ED5B4D">
              <w:t xml:space="preserve"> were positive for cancer.</w:t>
            </w:r>
            <w:r>
              <w:t xml:space="preserve"> 91% were Gleason 7 or more.  Cancer detection was </w:t>
            </w:r>
            <w:r w:rsidRPr="008604E8">
              <w:t xml:space="preserve">36% in the 2014 </w:t>
            </w:r>
            <w:r>
              <w:t xml:space="preserve">audit. 57% were Gleason 7 or more. </w:t>
            </w:r>
            <w:r w:rsidRPr="008604E8">
              <w:t xml:space="preserve">14 patients </w:t>
            </w:r>
            <w:r>
              <w:t xml:space="preserve">with PIRADS 3 lesions </w:t>
            </w:r>
            <w:r w:rsidRPr="008604E8">
              <w:t xml:space="preserve">underwent a biopsy, of which </w:t>
            </w:r>
            <w:r>
              <w:t>6</w:t>
            </w:r>
            <w:r w:rsidRPr="008604E8">
              <w:t xml:space="preserve"> were </w:t>
            </w:r>
            <w:r>
              <w:t xml:space="preserve">Gleason 7 or more. </w:t>
            </w:r>
          </w:p>
          <w:p w:rsidR="001A44C0" w:rsidRDefault="001A44C0" w:rsidP="00D33466">
            <w:pPr>
              <w:spacing w:after="0" w:line="240" w:lineRule="auto"/>
            </w:pPr>
          </w:p>
          <w:p w:rsidR="001A44C0" w:rsidRPr="00BB1834" w:rsidRDefault="001A44C0" w:rsidP="00D33466">
            <w:pPr>
              <w:spacing w:after="0" w:line="240" w:lineRule="auto"/>
            </w:pPr>
          </w:p>
        </w:tc>
      </w:tr>
      <w:tr w:rsidR="00D33466" w:rsidTr="00D33466">
        <w:tc>
          <w:tcPr>
            <w:tcW w:w="8545"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spacing w:after="0" w:line="240" w:lineRule="auto"/>
            </w:pPr>
            <w:r>
              <w:rPr>
                <w:b/>
              </w:rPr>
              <w:t>Conclusion</w:t>
            </w:r>
            <w:r>
              <w:t>:</w:t>
            </w:r>
          </w:p>
          <w:p w:rsidR="00D33466" w:rsidRDefault="00D33466" w:rsidP="00D33466">
            <w:pPr>
              <w:spacing w:after="0" w:line="240" w:lineRule="auto"/>
            </w:pPr>
            <w:r w:rsidRPr="006D70A1">
              <w:t xml:space="preserve">The introduction of </w:t>
            </w:r>
            <w:proofErr w:type="spellStart"/>
            <w:r>
              <w:t>mp</w:t>
            </w:r>
            <w:r w:rsidRPr="006D70A1">
              <w:t>MRI</w:t>
            </w:r>
            <w:proofErr w:type="spellEnd"/>
            <w:r w:rsidRPr="006D70A1">
              <w:t xml:space="preserve"> as the first-line investigation for prostate cancer has been</w:t>
            </w:r>
            <w:r>
              <w:t xml:space="preserve"> transformative </w:t>
            </w:r>
            <w:r w:rsidRPr="006D70A1">
              <w:t>by</w:t>
            </w:r>
            <w:r>
              <w:t>:</w:t>
            </w:r>
            <w:r w:rsidRPr="006D70A1">
              <w:t xml:space="preserve"> reducing unnecessary biopsies, enhancing patient safety</w:t>
            </w:r>
            <w:r>
              <w:t xml:space="preserve"> / experience</w:t>
            </w:r>
            <w:r w:rsidRPr="006D70A1">
              <w:t xml:space="preserve"> by minimising complications </w:t>
            </w:r>
            <w:r>
              <w:t xml:space="preserve">from </w:t>
            </w:r>
            <w:r w:rsidRPr="006D70A1">
              <w:t>avoidable procedures</w:t>
            </w:r>
            <w:r>
              <w:t xml:space="preserve"> and has significantly</w:t>
            </w:r>
            <w:r w:rsidRPr="006D70A1">
              <w:t xml:space="preserve"> improv</w:t>
            </w:r>
            <w:r>
              <w:t xml:space="preserve">ed </w:t>
            </w:r>
            <w:r w:rsidRPr="006D70A1">
              <w:t>accuracy</w:t>
            </w:r>
            <w:r>
              <w:t xml:space="preserve"> at diagnosing significant prostate cancer.</w:t>
            </w:r>
            <w:r w:rsidRPr="006D70A1">
              <w:t xml:space="preserve">  </w:t>
            </w:r>
            <w:r>
              <w:t xml:space="preserve">Further details will be presented.  </w:t>
            </w:r>
          </w:p>
          <w:p w:rsidR="00D33466" w:rsidRDefault="00D33466" w:rsidP="00D33466">
            <w:pPr>
              <w:spacing w:after="0" w:line="240" w:lineRule="auto"/>
              <w:rPr>
                <w:rFonts w:cs="Times New Roman"/>
              </w:rPr>
            </w:pPr>
          </w:p>
          <w:p w:rsidR="001A44C0" w:rsidRDefault="001A44C0" w:rsidP="00D33466">
            <w:pPr>
              <w:spacing w:after="0" w:line="240" w:lineRule="auto"/>
              <w:rPr>
                <w:rFonts w:cs="Times New Roman"/>
              </w:rPr>
            </w:pPr>
          </w:p>
        </w:tc>
      </w:tr>
    </w:tbl>
    <w:p w:rsidR="00D33466" w:rsidRDefault="00D33466" w:rsidP="00D33466"/>
    <w:p w:rsidR="00D33466" w:rsidRDefault="00D33466" w:rsidP="00D33466"/>
    <w:p w:rsidR="00D33466" w:rsidRDefault="00D33466" w:rsidP="00D33466"/>
    <w:p w:rsidR="00D33466" w:rsidRDefault="00D33466" w:rsidP="00D33466"/>
    <w:p w:rsidR="00D33466" w:rsidRDefault="00D33466" w:rsidP="00D33466"/>
    <w:p w:rsidR="00D33466" w:rsidRDefault="00D33466" w:rsidP="00D33466"/>
    <w:p w:rsidR="00D33466" w:rsidRDefault="00D33466" w:rsidP="00D334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8"/>
        <w:gridCol w:w="3528"/>
      </w:tblGrid>
      <w:tr w:rsidR="00D33466" w:rsidTr="001A44C0">
        <w:tc>
          <w:tcPr>
            <w:tcW w:w="5488" w:type="dxa"/>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pPr>
            <w:r>
              <w:rPr>
                <w:b/>
              </w:rPr>
              <w:t>Name of Presenter</w:t>
            </w:r>
            <w:r>
              <w:t>:</w:t>
            </w:r>
          </w:p>
          <w:p w:rsidR="00D33466" w:rsidRDefault="00D33466" w:rsidP="00D33466">
            <w:pPr>
              <w:spacing w:after="0" w:line="240" w:lineRule="auto"/>
              <w:rPr>
                <w:rFonts w:cs="Times New Roman"/>
              </w:rPr>
            </w:pPr>
            <w:r>
              <w:rPr>
                <w:rFonts w:cs="Times New Roman"/>
              </w:rPr>
              <w:t>John Gibson</w:t>
            </w:r>
          </w:p>
          <w:p w:rsidR="001A44C0" w:rsidRDefault="001A44C0" w:rsidP="00D33466">
            <w:pPr>
              <w:spacing w:after="0" w:line="240" w:lineRule="auto"/>
              <w:rPr>
                <w:rFonts w:cs="Times New Roman"/>
              </w:rPr>
            </w:pPr>
          </w:p>
        </w:tc>
        <w:tc>
          <w:tcPr>
            <w:tcW w:w="3528" w:type="dxa"/>
            <w:tcBorders>
              <w:top w:val="single" w:sz="4" w:space="0" w:color="auto"/>
              <w:left w:val="single" w:sz="4" w:space="0" w:color="auto"/>
              <w:bottom w:val="single" w:sz="4" w:space="0" w:color="auto"/>
              <w:right w:val="single" w:sz="4" w:space="0" w:color="auto"/>
            </w:tcBorders>
            <w:hideMark/>
          </w:tcPr>
          <w:p w:rsidR="00D33466" w:rsidRDefault="00D33466" w:rsidP="00D33466">
            <w:pPr>
              <w:spacing w:after="0" w:line="240" w:lineRule="auto"/>
              <w:rPr>
                <w:rFonts w:cs="Times New Roman"/>
              </w:rPr>
            </w:pPr>
            <w:r>
              <w:rPr>
                <w:b/>
              </w:rPr>
              <w:t>Training grade/post</w:t>
            </w:r>
            <w:r>
              <w:t>: CT2</w:t>
            </w:r>
          </w:p>
        </w:tc>
      </w:tr>
      <w:tr w:rsidR="00D33466" w:rsidTr="001A44C0">
        <w:tc>
          <w:tcPr>
            <w:tcW w:w="9016" w:type="dxa"/>
            <w:gridSpan w:val="2"/>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pPr>
            <w:r>
              <w:rPr>
                <w:b/>
              </w:rPr>
              <w:t>Institution</w:t>
            </w:r>
            <w:r>
              <w:t>:</w:t>
            </w:r>
          </w:p>
          <w:p w:rsidR="00D33466" w:rsidRDefault="00D33466" w:rsidP="00D33466">
            <w:pPr>
              <w:spacing w:after="0" w:line="240" w:lineRule="auto"/>
              <w:rPr>
                <w:rFonts w:cs="Times New Roman"/>
              </w:rPr>
            </w:pPr>
            <w:r>
              <w:rPr>
                <w:rFonts w:cs="Times New Roman"/>
              </w:rPr>
              <w:t xml:space="preserve">Royal Bolton NHS Foundation Trust </w:t>
            </w:r>
          </w:p>
          <w:p w:rsidR="001A44C0" w:rsidRDefault="001A44C0" w:rsidP="00D33466">
            <w:pPr>
              <w:spacing w:after="0" w:line="240" w:lineRule="auto"/>
              <w:rPr>
                <w:rFonts w:cs="Times New Roman"/>
              </w:rPr>
            </w:pPr>
          </w:p>
        </w:tc>
      </w:tr>
      <w:tr w:rsidR="00D33466" w:rsidTr="001A44C0">
        <w:tc>
          <w:tcPr>
            <w:tcW w:w="9016" w:type="dxa"/>
            <w:gridSpan w:val="2"/>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pPr>
            <w:r>
              <w:rPr>
                <w:b/>
              </w:rPr>
              <w:t>Title of Presentation</w:t>
            </w:r>
            <w:r>
              <w:t>:</w:t>
            </w:r>
          </w:p>
          <w:p w:rsidR="00D33466" w:rsidRDefault="00D33466" w:rsidP="00D33466">
            <w:pPr>
              <w:spacing w:after="0" w:line="240" w:lineRule="auto"/>
            </w:pPr>
            <w:r>
              <w:t xml:space="preserve">Improving Adherence to the Suspected Renal Colic Pathway: A Retrospective Audit Study </w:t>
            </w:r>
          </w:p>
          <w:p w:rsidR="00D33466" w:rsidRDefault="00D33466" w:rsidP="00D33466">
            <w:pPr>
              <w:spacing w:after="0" w:line="240" w:lineRule="auto"/>
              <w:rPr>
                <w:rFonts w:cs="Times New Roman"/>
              </w:rPr>
            </w:pPr>
          </w:p>
        </w:tc>
      </w:tr>
      <w:tr w:rsidR="00D33466" w:rsidTr="001A44C0">
        <w:tc>
          <w:tcPr>
            <w:tcW w:w="9016" w:type="dxa"/>
            <w:gridSpan w:val="2"/>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pPr>
            <w:r>
              <w:rPr>
                <w:b/>
              </w:rPr>
              <w:t>Authors</w:t>
            </w:r>
            <w:r>
              <w:t>:</w:t>
            </w:r>
          </w:p>
          <w:p w:rsidR="001A44C0" w:rsidRPr="001A44C0" w:rsidRDefault="00D33466" w:rsidP="00D33466">
            <w:pPr>
              <w:spacing w:line="240" w:lineRule="auto"/>
            </w:pPr>
            <w:r>
              <w:t xml:space="preserve">John Gibson, Will Hunter, </w:t>
            </w:r>
            <w:proofErr w:type="spellStart"/>
            <w:r>
              <w:t>Agapios</w:t>
            </w:r>
            <w:proofErr w:type="spellEnd"/>
            <w:r>
              <w:t xml:space="preserve"> </w:t>
            </w:r>
            <w:proofErr w:type="spellStart"/>
            <w:r>
              <w:t>Gkentzis</w:t>
            </w:r>
            <w:proofErr w:type="spellEnd"/>
          </w:p>
        </w:tc>
      </w:tr>
      <w:tr w:rsidR="00D33466" w:rsidTr="001A44C0">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spacing w:after="0" w:line="240" w:lineRule="auto"/>
            </w:pPr>
            <w:r>
              <w:rPr>
                <w:b/>
              </w:rPr>
              <w:t>Aims</w:t>
            </w:r>
            <w:r>
              <w:t>:</w:t>
            </w:r>
          </w:p>
          <w:p w:rsidR="00D33466" w:rsidRDefault="00D33466" w:rsidP="00D33466">
            <w:pPr>
              <w:spacing w:after="0" w:line="240" w:lineRule="auto"/>
            </w:pPr>
            <w:r w:rsidRPr="002E424E">
              <w:t>To assess adherence to the suspected renal colic pathway for ED referrals to Same Day Emergency Care (SDEC) and its impact on ureteric stone detection and resource use.</w:t>
            </w:r>
          </w:p>
          <w:p w:rsidR="001A44C0" w:rsidRDefault="001A44C0" w:rsidP="00D33466">
            <w:pPr>
              <w:spacing w:after="0" w:line="240" w:lineRule="auto"/>
            </w:pPr>
          </w:p>
          <w:p w:rsidR="001A44C0" w:rsidRPr="002E424E" w:rsidRDefault="001A44C0" w:rsidP="00D33466">
            <w:pPr>
              <w:spacing w:after="0" w:line="240" w:lineRule="auto"/>
            </w:pPr>
          </w:p>
        </w:tc>
      </w:tr>
      <w:tr w:rsidR="00D33466" w:rsidTr="001A44C0">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spacing w:after="0" w:line="240" w:lineRule="auto"/>
            </w:pPr>
            <w:r>
              <w:rPr>
                <w:b/>
              </w:rPr>
              <w:t>Methods</w:t>
            </w:r>
            <w:r>
              <w:t>:</w:t>
            </w:r>
          </w:p>
          <w:p w:rsidR="00D33466" w:rsidRDefault="00D33466" w:rsidP="00D33466">
            <w:pPr>
              <w:spacing w:after="0" w:line="240" w:lineRule="auto"/>
            </w:pPr>
            <w:r w:rsidRPr="002E424E">
              <w:t>A retrospective cohort study reviewed patients referred from the ED to SDEC over a 6-month period. Referral criteria included: unilateral colicky loin pain, microscopic haematuria, age &gt;16 years, and initial pain score &gt;7/10. Data were collected on adherence to criteria, ureteric stone detection, and use of CT KUB. After the first cycle, an educational poster clarifying referral criteria was introduced. A second audit cycle was conducted to assess the impact of this intervention.</w:t>
            </w:r>
          </w:p>
          <w:p w:rsidR="001A44C0" w:rsidRDefault="001A44C0" w:rsidP="00D33466">
            <w:pPr>
              <w:spacing w:after="0" w:line="240" w:lineRule="auto"/>
              <w:rPr>
                <w:rFonts w:cs="Times New Roman"/>
              </w:rPr>
            </w:pPr>
          </w:p>
          <w:p w:rsidR="001A44C0" w:rsidRDefault="001A44C0" w:rsidP="00D33466">
            <w:pPr>
              <w:spacing w:after="0" w:line="240" w:lineRule="auto"/>
              <w:rPr>
                <w:rFonts w:cs="Times New Roman"/>
              </w:rPr>
            </w:pPr>
          </w:p>
        </w:tc>
      </w:tr>
      <w:tr w:rsidR="00D33466" w:rsidTr="001A44C0">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spacing w:after="0" w:line="240" w:lineRule="auto"/>
            </w:pPr>
            <w:r>
              <w:rPr>
                <w:b/>
              </w:rPr>
              <w:t>Results</w:t>
            </w:r>
            <w:r>
              <w:t>:</w:t>
            </w:r>
          </w:p>
          <w:p w:rsidR="00D33466" w:rsidRDefault="00D33466" w:rsidP="00D33466">
            <w:pPr>
              <w:spacing w:after="0" w:line="240" w:lineRule="auto"/>
            </w:pPr>
            <w:r w:rsidRPr="002E424E">
              <w:t>In the first cycle, only 50% of referrals met the pathway criteria. Of these, 61.9% had ureteric stones, compared to 17.6% of those not meeting criteria. The overall stone detection rate was 39%. The second cycle showed improved adherence to referral criteria and an increase in ureteric stone detection.</w:t>
            </w:r>
          </w:p>
          <w:p w:rsidR="001A44C0" w:rsidRDefault="001A44C0" w:rsidP="00D33466">
            <w:pPr>
              <w:spacing w:after="0" w:line="240" w:lineRule="auto"/>
              <w:rPr>
                <w:rFonts w:cs="Times New Roman"/>
              </w:rPr>
            </w:pPr>
          </w:p>
          <w:p w:rsidR="001A44C0" w:rsidRDefault="001A44C0" w:rsidP="00D33466">
            <w:pPr>
              <w:spacing w:after="0" w:line="240" w:lineRule="auto"/>
              <w:rPr>
                <w:rFonts w:cs="Times New Roman"/>
              </w:rPr>
            </w:pPr>
          </w:p>
        </w:tc>
      </w:tr>
      <w:tr w:rsidR="00D33466" w:rsidTr="001A44C0">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spacing w:after="0" w:line="240" w:lineRule="auto"/>
            </w:pPr>
            <w:r>
              <w:rPr>
                <w:b/>
              </w:rPr>
              <w:t>Conclusion</w:t>
            </w:r>
            <w:r>
              <w:t>:</w:t>
            </w:r>
          </w:p>
          <w:p w:rsidR="00D33466" w:rsidRDefault="00D33466" w:rsidP="00D33466">
            <w:pPr>
              <w:spacing w:after="0" w:line="240" w:lineRule="auto"/>
            </w:pPr>
            <w:r w:rsidRPr="002E424E">
              <w:t>Half of the patients referred for suspected renal colic did not meet the pathway criteria, resulting in unnecessary imaging and lower diagnostic accuracy. Following the educational intervention, adherence to the referral pathway improved, leading to an increased stone pick-up rate. This highlights the importance of pathway adherence to optimi</w:t>
            </w:r>
            <w:r>
              <w:t>s</w:t>
            </w:r>
            <w:r w:rsidRPr="002E424E">
              <w:t>e diagnostic yield, reduce unnecessary CT scans, and minimi</w:t>
            </w:r>
            <w:r>
              <w:t>s</w:t>
            </w:r>
            <w:r w:rsidRPr="002E424E">
              <w:t>e radiation exposure.</w:t>
            </w:r>
          </w:p>
          <w:p w:rsidR="001A44C0" w:rsidRDefault="001A44C0" w:rsidP="00D33466">
            <w:pPr>
              <w:spacing w:after="0" w:line="240" w:lineRule="auto"/>
            </w:pPr>
          </w:p>
          <w:p w:rsidR="00D33466" w:rsidRDefault="00D33466" w:rsidP="00D33466">
            <w:pPr>
              <w:spacing w:after="0" w:line="240" w:lineRule="auto"/>
              <w:rPr>
                <w:rFonts w:cs="Times New Roman"/>
              </w:rPr>
            </w:pPr>
          </w:p>
        </w:tc>
      </w:tr>
    </w:tbl>
    <w:p w:rsidR="00D33466" w:rsidRDefault="00D33466" w:rsidP="00D33466"/>
    <w:p w:rsidR="00D33466" w:rsidRDefault="00D33466" w:rsidP="00D33466"/>
    <w:p w:rsidR="00D33466" w:rsidRDefault="00D33466" w:rsidP="00D33466"/>
    <w:tbl>
      <w:tblPr>
        <w:tblpPr w:leftFromText="180" w:rightFromText="180" w:vertAnchor="page" w:horzAnchor="margin" w:tblpY="25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8"/>
        <w:gridCol w:w="3528"/>
      </w:tblGrid>
      <w:tr w:rsidR="00D33466" w:rsidTr="001A44C0">
        <w:tc>
          <w:tcPr>
            <w:tcW w:w="5488" w:type="dxa"/>
            <w:tcBorders>
              <w:top w:val="single" w:sz="4" w:space="0" w:color="auto"/>
              <w:left w:val="single" w:sz="4" w:space="0" w:color="auto"/>
              <w:bottom w:val="single" w:sz="4" w:space="0" w:color="auto"/>
              <w:right w:val="single" w:sz="4" w:space="0" w:color="auto"/>
            </w:tcBorders>
          </w:tcPr>
          <w:p w:rsidR="00D33466" w:rsidRDefault="00D33466" w:rsidP="001A44C0">
            <w:pPr>
              <w:spacing w:after="0" w:line="240" w:lineRule="auto"/>
            </w:pPr>
            <w:r>
              <w:rPr>
                <w:b/>
              </w:rPr>
              <w:t>Name of Presenter</w:t>
            </w:r>
            <w:r>
              <w:t>: Jack Hay</w:t>
            </w:r>
          </w:p>
          <w:p w:rsidR="001A44C0" w:rsidRPr="00162F64" w:rsidRDefault="001A44C0" w:rsidP="001A44C0">
            <w:pPr>
              <w:spacing w:after="0" w:line="240" w:lineRule="auto"/>
            </w:pPr>
          </w:p>
        </w:tc>
        <w:tc>
          <w:tcPr>
            <w:tcW w:w="3528" w:type="dxa"/>
            <w:tcBorders>
              <w:top w:val="single" w:sz="4" w:space="0" w:color="auto"/>
              <w:left w:val="single" w:sz="4" w:space="0" w:color="auto"/>
              <w:bottom w:val="single" w:sz="4" w:space="0" w:color="auto"/>
              <w:right w:val="single" w:sz="4" w:space="0" w:color="auto"/>
            </w:tcBorders>
            <w:hideMark/>
          </w:tcPr>
          <w:p w:rsidR="00D33466" w:rsidRDefault="00D33466" w:rsidP="001A44C0">
            <w:pPr>
              <w:spacing w:after="0" w:line="240" w:lineRule="auto"/>
              <w:rPr>
                <w:rFonts w:cs="Times New Roman"/>
              </w:rPr>
            </w:pPr>
            <w:r>
              <w:rPr>
                <w:b/>
              </w:rPr>
              <w:t>Training grade/post</w:t>
            </w:r>
            <w:r>
              <w:t>: CT2</w:t>
            </w:r>
          </w:p>
        </w:tc>
      </w:tr>
      <w:tr w:rsidR="00D33466" w:rsidTr="001A44C0">
        <w:tc>
          <w:tcPr>
            <w:tcW w:w="9016" w:type="dxa"/>
            <w:gridSpan w:val="2"/>
            <w:tcBorders>
              <w:top w:val="single" w:sz="4" w:space="0" w:color="auto"/>
              <w:left w:val="single" w:sz="4" w:space="0" w:color="auto"/>
              <w:bottom w:val="single" w:sz="4" w:space="0" w:color="auto"/>
              <w:right w:val="single" w:sz="4" w:space="0" w:color="auto"/>
            </w:tcBorders>
          </w:tcPr>
          <w:p w:rsidR="00D33466" w:rsidRDefault="00D33466" w:rsidP="001A44C0">
            <w:pPr>
              <w:spacing w:after="0" w:line="240" w:lineRule="auto"/>
            </w:pPr>
            <w:r>
              <w:rPr>
                <w:b/>
              </w:rPr>
              <w:t>Institution</w:t>
            </w:r>
            <w:r>
              <w:t>: Wythenshawe Hospital</w:t>
            </w:r>
          </w:p>
          <w:p w:rsidR="001A44C0" w:rsidRPr="00162F64" w:rsidRDefault="001A44C0" w:rsidP="001A44C0">
            <w:pPr>
              <w:spacing w:after="0" w:line="240" w:lineRule="auto"/>
            </w:pPr>
          </w:p>
        </w:tc>
      </w:tr>
      <w:tr w:rsidR="00D33466" w:rsidTr="001A44C0">
        <w:tc>
          <w:tcPr>
            <w:tcW w:w="9016" w:type="dxa"/>
            <w:gridSpan w:val="2"/>
            <w:tcBorders>
              <w:top w:val="single" w:sz="4" w:space="0" w:color="auto"/>
              <w:left w:val="single" w:sz="4" w:space="0" w:color="auto"/>
              <w:bottom w:val="single" w:sz="4" w:space="0" w:color="auto"/>
              <w:right w:val="single" w:sz="4" w:space="0" w:color="auto"/>
            </w:tcBorders>
          </w:tcPr>
          <w:p w:rsidR="00D33466" w:rsidRDefault="00D33466" w:rsidP="001A44C0">
            <w:pPr>
              <w:spacing w:after="0" w:line="240" w:lineRule="auto"/>
            </w:pPr>
            <w:r>
              <w:rPr>
                <w:b/>
              </w:rPr>
              <w:t>Title of Presentation</w:t>
            </w:r>
            <w:r>
              <w:t>:</w:t>
            </w:r>
          </w:p>
          <w:p w:rsidR="00D33466" w:rsidRDefault="00D33466" w:rsidP="001A44C0">
            <w:pPr>
              <w:spacing w:after="0" w:line="240" w:lineRule="auto"/>
            </w:pPr>
            <w:r>
              <w:t>The Gravity of Omitting Weights in Urological infections</w:t>
            </w:r>
          </w:p>
          <w:p w:rsidR="00D33466" w:rsidRDefault="00D33466" w:rsidP="001A44C0">
            <w:pPr>
              <w:spacing w:after="0" w:line="240" w:lineRule="auto"/>
              <w:rPr>
                <w:rFonts w:cs="Times New Roman"/>
              </w:rPr>
            </w:pPr>
          </w:p>
        </w:tc>
      </w:tr>
      <w:tr w:rsidR="00D33466" w:rsidTr="001A44C0">
        <w:tc>
          <w:tcPr>
            <w:tcW w:w="9016" w:type="dxa"/>
            <w:gridSpan w:val="2"/>
            <w:tcBorders>
              <w:top w:val="single" w:sz="4" w:space="0" w:color="auto"/>
              <w:left w:val="single" w:sz="4" w:space="0" w:color="auto"/>
              <w:bottom w:val="single" w:sz="4" w:space="0" w:color="auto"/>
              <w:right w:val="single" w:sz="4" w:space="0" w:color="auto"/>
            </w:tcBorders>
          </w:tcPr>
          <w:p w:rsidR="00D33466" w:rsidRDefault="00D33466" w:rsidP="001A44C0">
            <w:pPr>
              <w:spacing w:after="0" w:line="240" w:lineRule="auto"/>
            </w:pPr>
            <w:r>
              <w:rPr>
                <w:b/>
              </w:rPr>
              <w:t>Authors</w:t>
            </w:r>
            <w:r>
              <w:t>:</w:t>
            </w:r>
          </w:p>
          <w:p w:rsidR="00D33466" w:rsidRDefault="00D33466" w:rsidP="001A44C0">
            <w:pPr>
              <w:spacing w:after="0" w:line="240" w:lineRule="auto"/>
            </w:pPr>
            <w:r>
              <w:t>Jack Hay</w:t>
            </w:r>
          </w:p>
          <w:p w:rsidR="00D33466" w:rsidRDefault="00D33466" w:rsidP="001A44C0">
            <w:pPr>
              <w:spacing w:after="0" w:line="240" w:lineRule="auto"/>
              <w:rPr>
                <w:rFonts w:cs="Times New Roman"/>
              </w:rPr>
            </w:pPr>
          </w:p>
        </w:tc>
      </w:tr>
      <w:tr w:rsidR="00D33466" w:rsidTr="001A44C0">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1A44C0">
            <w:pPr>
              <w:spacing w:after="0" w:line="240" w:lineRule="auto"/>
            </w:pPr>
            <w:r>
              <w:rPr>
                <w:b/>
              </w:rPr>
              <w:t>Aims</w:t>
            </w:r>
            <w:r>
              <w:t>:</w:t>
            </w:r>
          </w:p>
          <w:p w:rsidR="00D33466" w:rsidRDefault="00D33466" w:rsidP="001A44C0">
            <w:pPr>
              <w:spacing w:after="0" w:line="240" w:lineRule="auto"/>
              <w:rPr>
                <w:rFonts w:cs="Times New Roman"/>
              </w:rPr>
            </w:pPr>
            <w:r>
              <w:rPr>
                <w:rFonts w:cs="Times New Roman"/>
              </w:rPr>
              <w:t>A closed-loop audit to assess/attempt to improve on-admission weights in Urological patients, as per NICE guidelines.</w:t>
            </w:r>
          </w:p>
          <w:p w:rsidR="001A44C0" w:rsidRDefault="001A44C0" w:rsidP="001A44C0">
            <w:pPr>
              <w:spacing w:after="0" w:line="240" w:lineRule="auto"/>
              <w:rPr>
                <w:rFonts w:cs="Times New Roman"/>
              </w:rPr>
            </w:pPr>
          </w:p>
        </w:tc>
      </w:tr>
      <w:tr w:rsidR="00D33466" w:rsidTr="001A44C0">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1A44C0">
            <w:pPr>
              <w:spacing w:after="0" w:line="240" w:lineRule="auto"/>
            </w:pPr>
            <w:r>
              <w:rPr>
                <w:b/>
              </w:rPr>
              <w:t>Methods</w:t>
            </w:r>
            <w:r>
              <w:t>:</w:t>
            </w:r>
          </w:p>
          <w:p w:rsidR="00D33466" w:rsidRPr="00162F64" w:rsidRDefault="00D33466" w:rsidP="001A44C0">
            <w:r>
              <w:t>Patients admitted under Urology were sampled on two separate occasions to determine if they had admission weight performed from electronic patient records. This was checked against guidelines</w:t>
            </w:r>
          </w:p>
        </w:tc>
      </w:tr>
      <w:tr w:rsidR="00D33466" w:rsidTr="001A44C0">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1A44C0">
            <w:pPr>
              <w:spacing w:after="0" w:line="240" w:lineRule="auto"/>
            </w:pPr>
            <w:r>
              <w:rPr>
                <w:b/>
              </w:rPr>
              <w:t>Results</w:t>
            </w:r>
            <w:r>
              <w:t>:</w:t>
            </w:r>
          </w:p>
          <w:p w:rsidR="00D33466" w:rsidRDefault="00D33466" w:rsidP="001A44C0">
            <w:r>
              <w:t>In the first cycle, 17 patients were tabulated with admission reason, admission date and date which they were weighed. 6/17 were admitted for some form of infection around 50% of these had gentamicin. 4 were admitted for elective procedure and had subsequent gentamicin. Interestingly, one patient did not have an admission weight despite an elective procedure and subsequently had gentamicin. Overall, 5 patients had non-compliance with 2 of these patients receiving gentamicin.</w:t>
            </w:r>
          </w:p>
          <w:p w:rsidR="00D33466" w:rsidRPr="00162F64" w:rsidRDefault="00D33466" w:rsidP="001A44C0">
            <w:r>
              <w:t>Awareness was raised by making a poster and discussing with the team the importance of therapeutic dosing on multiple occasions. Second cycle, 17 selected. 9 patients were admitted with infection of some kind and 6 of these had gentamicin. Again 5 patients had non-compliance. 3 received gentamicin.</w:t>
            </w:r>
          </w:p>
        </w:tc>
      </w:tr>
      <w:tr w:rsidR="00D33466" w:rsidTr="001A44C0">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1A44C0">
            <w:pPr>
              <w:spacing w:after="0" w:line="240" w:lineRule="auto"/>
            </w:pPr>
            <w:r>
              <w:rPr>
                <w:b/>
              </w:rPr>
              <w:t>Conclusion</w:t>
            </w:r>
            <w:r>
              <w:t>:</w:t>
            </w:r>
          </w:p>
          <w:p w:rsidR="00D33466" w:rsidRDefault="00D33466" w:rsidP="001A44C0">
            <w:r>
              <w:t xml:space="preserve">Unfortunately, this demonstrated ongoing non-compliance and will need re-auditing. Limiting factors to weight may </w:t>
            </w:r>
            <w:proofErr w:type="gramStart"/>
            <w:r>
              <w:t>include:</w:t>
            </w:r>
            <w:proofErr w:type="gramEnd"/>
            <w:r>
              <w:t xml:space="preserve"> access to scales, shift demand (nursing, ED admission), human error. Inappropriate gentamicin dosing has the potential to increase delay in recovery and increase morbidity. </w:t>
            </w:r>
          </w:p>
          <w:p w:rsidR="00D33466" w:rsidRDefault="00D33466" w:rsidP="001A44C0">
            <w:pPr>
              <w:spacing w:after="0" w:line="240" w:lineRule="auto"/>
            </w:pPr>
          </w:p>
          <w:p w:rsidR="00D33466" w:rsidRDefault="00D33466" w:rsidP="001A44C0">
            <w:pPr>
              <w:spacing w:after="0" w:line="240" w:lineRule="auto"/>
              <w:rPr>
                <w:rFonts w:cs="Times New Roman"/>
              </w:rPr>
            </w:pPr>
          </w:p>
        </w:tc>
      </w:tr>
    </w:tbl>
    <w:p w:rsidR="00D33466" w:rsidRDefault="00D33466" w:rsidP="00D33466"/>
    <w:p w:rsidR="00D33466" w:rsidRDefault="00D33466" w:rsidP="00D33466"/>
    <w:p w:rsidR="00D33466" w:rsidRDefault="00D33466" w:rsidP="00D33466"/>
    <w:p w:rsidR="00D33466" w:rsidRDefault="00D33466" w:rsidP="00D33466"/>
    <w:tbl>
      <w:tblPr>
        <w:tblpPr w:leftFromText="180" w:rightFromText="180" w:vertAnchor="page" w:horzAnchor="margin" w:tblpY="25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8"/>
        <w:gridCol w:w="3528"/>
      </w:tblGrid>
      <w:tr w:rsidR="00D33466" w:rsidTr="001A44C0">
        <w:tc>
          <w:tcPr>
            <w:tcW w:w="5488" w:type="dxa"/>
            <w:tcBorders>
              <w:top w:val="single" w:sz="4" w:space="0" w:color="auto"/>
              <w:left w:val="single" w:sz="4" w:space="0" w:color="auto"/>
              <w:bottom w:val="single" w:sz="4" w:space="0" w:color="auto"/>
              <w:right w:val="single" w:sz="4" w:space="0" w:color="auto"/>
            </w:tcBorders>
          </w:tcPr>
          <w:p w:rsidR="00D33466" w:rsidRDefault="00D33466" w:rsidP="001A44C0">
            <w:pPr>
              <w:spacing w:after="0" w:line="240" w:lineRule="auto"/>
            </w:pPr>
            <w:r>
              <w:rPr>
                <w:b/>
              </w:rPr>
              <w:t>Name of Presenter</w:t>
            </w:r>
            <w:r>
              <w:t>: Jack Hay</w:t>
            </w:r>
          </w:p>
          <w:p w:rsidR="00D33466" w:rsidRDefault="00D33466" w:rsidP="001A44C0">
            <w:pPr>
              <w:spacing w:after="0" w:line="240" w:lineRule="auto"/>
              <w:rPr>
                <w:rFonts w:cs="Times New Roman"/>
              </w:rPr>
            </w:pPr>
          </w:p>
        </w:tc>
        <w:tc>
          <w:tcPr>
            <w:tcW w:w="3528" w:type="dxa"/>
            <w:tcBorders>
              <w:top w:val="single" w:sz="4" w:space="0" w:color="auto"/>
              <w:left w:val="single" w:sz="4" w:space="0" w:color="auto"/>
              <w:bottom w:val="single" w:sz="4" w:space="0" w:color="auto"/>
              <w:right w:val="single" w:sz="4" w:space="0" w:color="auto"/>
            </w:tcBorders>
            <w:hideMark/>
          </w:tcPr>
          <w:p w:rsidR="00D33466" w:rsidRDefault="00D33466" w:rsidP="001A44C0">
            <w:pPr>
              <w:spacing w:after="0" w:line="240" w:lineRule="auto"/>
              <w:rPr>
                <w:rFonts w:cs="Times New Roman"/>
              </w:rPr>
            </w:pPr>
            <w:r>
              <w:rPr>
                <w:b/>
              </w:rPr>
              <w:t>Training grade/post</w:t>
            </w:r>
            <w:r>
              <w:t>: CT2</w:t>
            </w:r>
          </w:p>
        </w:tc>
      </w:tr>
      <w:tr w:rsidR="00D33466" w:rsidTr="001A44C0">
        <w:tc>
          <w:tcPr>
            <w:tcW w:w="9016" w:type="dxa"/>
            <w:gridSpan w:val="2"/>
            <w:tcBorders>
              <w:top w:val="single" w:sz="4" w:space="0" w:color="auto"/>
              <w:left w:val="single" w:sz="4" w:space="0" w:color="auto"/>
              <w:bottom w:val="single" w:sz="4" w:space="0" w:color="auto"/>
              <w:right w:val="single" w:sz="4" w:space="0" w:color="auto"/>
            </w:tcBorders>
          </w:tcPr>
          <w:p w:rsidR="00D33466" w:rsidRDefault="00D33466" w:rsidP="001A44C0">
            <w:pPr>
              <w:spacing w:after="0" w:line="240" w:lineRule="auto"/>
            </w:pPr>
            <w:r>
              <w:rPr>
                <w:b/>
              </w:rPr>
              <w:t>Institution</w:t>
            </w:r>
            <w:r>
              <w:t>: Wythenshawe Hospital, North-West Deanery</w:t>
            </w:r>
          </w:p>
          <w:p w:rsidR="00D33466" w:rsidRDefault="00D33466" w:rsidP="001A44C0">
            <w:pPr>
              <w:spacing w:after="0" w:line="240" w:lineRule="auto"/>
              <w:rPr>
                <w:rFonts w:cs="Times New Roman"/>
              </w:rPr>
            </w:pPr>
          </w:p>
        </w:tc>
      </w:tr>
      <w:tr w:rsidR="00D33466" w:rsidTr="001A44C0">
        <w:tc>
          <w:tcPr>
            <w:tcW w:w="9016" w:type="dxa"/>
            <w:gridSpan w:val="2"/>
            <w:tcBorders>
              <w:top w:val="single" w:sz="4" w:space="0" w:color="auto"/>
              <w:left w:val="single" w:sz="4" w:space="0" w:color="auto"/>
              <w:bottom w:val="single" w:sz="4" w:space="0" w:color="auto"/>
              <w:right w:val="single" w:sz="4" w:space="0" w:color="auto"/>
            </w:tcBorders>
          </w:tcPr>
          <w:p w:rsidR="00D33466" w:rsidRDefault="00D33466" w:rsidP="001A44C0">
            <w:pPr>
              <w:spacing w:after="0" w:line="240" w:lineRule="auto"/>
            </w:pPr>
            <w:r>
              <w:rPr>
                <w:b/>
              </w:rPr>
              <w:t>Title of Presentation</w:t>
            </w:r>
            <w:r>
              <w:t>: “Thank you, necks” – The importance of thyroid protection in endourological surgery</w:t>
            </w:r>
          </w:p>
          <w:p w:rsidR="00D33466" w:rsidRDefault="00D33466" w:rsidP="001A44C0">
            <w:pPr>
              <w:spacing w:after="0" w:line="240" w:lineRule="auto"/>
              <w:rPr>
                <w:rFonts w:cs="Times New Roman"/>
              </w:rPr>
            </w:pPr>
          </w:p>
        </w:tc>
      </w:tr>
      <w:tr w:rsidR="00D33466" w:rsidTr="001A44C0">
        <w:tc>
          <w:tcPr>
            <w:tcW w:w="9016" w:type="dxa"/>
            <w:gridSpan w:val="2"/>
            <w:tcBorders>
              <w:top w:val="single" w:sz="4" w:space="0" w:color="auto"/>
              <w:left w:val="single" w:sz="4" w:space="0" w:color="auto"/>
              <w:bottom w:val="single" w:sz="4" w:space="0" w:color="auto"/>
              <w:right w:val="single" w:sz="4" w:space="0" w:color="auto"/>
            </w:tcBorders>
          </w:tcPr>
          <w:p w:rsidR="00D33466" w:rsidRDefault="00D33466" w:rsidP="001A44C0">
            <w:pPr>
              <w:spacing w:after="0" w:line="240" w:lineRule="auto"/>
            </w:pPr>
            <w:r>
              <w:rPr>
                <w:b/>
              </w:rPr>
              <w:t>Authors</w:t>
            </w:r>
            <w:r>
              <w:t>: Jack Hay</w:t>
            </w:r>
          </w:p>
          <w:p w:rsidR="00D33466" w:rsidRDefault="00D33466" w:rsidP="001A44C0">
            <w:pPr>
              <w:spacing w:after="0" w:line="240" w:lineRule="auto"/>
            </w:pPr>
          </w:p>
          <w:p w:rsidR="00D33466" w:rsidRDefault="00D33466" w:rsidP="001A44C0">
            <w:pPr>
              <w:spacing w:after="0" w:line="240" w:lineRule="auto"/>
              <w:rPr>
                <w:rFonts w:cs="Times New Roman"/>
              </w:rPr>
            </w:pPr>
          </w:p>
        </w:tc>
      </w:tr>
      <w:tr w:rsidR="00D33466" w:rsidTr="001A44C0">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1A44C0">
            <w:pPr>
              <w:spacing w:after="0" w:line="240" w:lineRule="auto"/>
            </w:pPr>
            <w:r>
              <w:rPr>
                <w:b/>
              </w:rPr>
              <w:t>Aims</w:t>
            </w:r>
            <w:r>
              <w:t>:</w:t>
            </w:r>
          </w:p>
          <w:p w:rsidR="00D33466" w:rsidRDefault="00D33466" w:rsidP="001A44C0">
            <w:pPr>
              <w:spacing w:after="0" w:line="240" w:lineRule="auto"/>
            </w:pPr>
            <w:r>
              <w:t>We aimed to assess the compliance of Junior Urologists to wearing thyroid shielding during use of fluoroscopy in urological surgery. In addition, we wanted to see what the reasons for non-compliance and explore understanding of guidelines.</w:t>
            </w:r>
          </w:p>
          <w:p w:rsidR="00D33466" w:rsidRDefault="00D33466" w:rsidP="001A44C0">
            <w:pPr>
              <w:spacing w:after="0" w:line="240" w:lineRule="auto"/>
              <w:rPr>
                <w:rFonts w:cs="Times New Roman"/>
              </w:rPr>
            </w:pPr>
          </w:p>
        </w:tc>
      </w:tr>
      <w:tr w:rsidR="00D33466" w:rsidTr="001A44C0">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1A44C0">
            <w:pPr>
              <w:spacing w:after="0" w:line="240" w:lineRule="auto"/>
            </w:pPr>
            <w:r>
              <w:rPr>
                <w:b/>
              </w:rPr>
              <w:t>Methods</w:t>
            </w:r>
            <w:r>
              <w:t>:</w:t>
            </w:r>
          </w:p>
          <w:p w:rsidR="00D33466" w:rsidRDefault="00D33466" w:rsidP="001A44C0">
            <w:pPr>
              <w:spacing w:after="0" w:line="240" w:lineRule="auto"/>
            </w:pPr>
            <w:r>
              <w:t xml:space="preserve">11 were surveyed on their use of thyroid shields in theatre, reasons for not wearing them and if they had heard of any guidelines. 6 theatre cases </w:t>
            </w:r>
            <w:proofErr w:type="gramStart"/>
            <w:r>
              <w:t>were observed</w:t>
            </w:r>
            <w:proofErr w:type="gramEnd"/>
            <w:r>
              <w:t xml:space="preserve"> and multi-disciplinary team members audited on compliance.</w:t>
            </w:r>
          </w:p>
          <w:p w:rsidR="00D33466" w:rsidRDefault="00D33466" w:rsidP="001A44C0">
            <w:pPr>
              <w:spacing w:after="0" w:line="240" w:lineRule="auto"/>
              <w:rPr>
                <w:rFonts w:cs="Times New Roman"/>
              </w:rPr>
            </w:pPr>
          </w:p>
        </w:tc>
      </w:tr>
      <w:tr w:rsidR="00D33466" w:rsidTr="001A44C0">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1A44C0">
            <w:pPr>
              <w:spacing w:after="0" w:line="240" w:lineRule="auto"/>
            </w:pPr>
            <w:r>
              <w:rPr>
                <w:b/>
              </w:rPr>
              <w:t>Results</w:t>
            </w:r>
            <w:r>
              <w:t>:</w:t>
            </w:r>
          </w:p>
          <w:p w:rsidR="00D33466" w:rsidRDefault="00D33466" w:rsidP="001A44C0">
            <w:pPr>
              <w:spacing w:after="0" w:line="240" w:lineRule="auto"/>
            </w:pPr>
            <w:r>
              <w:t xml:space="preserve">Of the 12 doctors in Urology surveyed across 3+ sites (10:2 </w:t>
            </w:r>
            <w:proofErr w:type="spellStart"/>
            <w:r>
              <w:t>males:female</w:t>
            </w:r>
            <w:proofErr w:type="spellEnd"/>
            <w:r>
              <w:t xml:space="preserve">; 6 SHOs, 6 </w:t>
            </w:r>
            <w:proofErr w:type="spellStart"/>
            <w:r>
              <w:t>SpRs</w:t>
            </w:r>
            <w:proofErr w:type="spellEnd"/>
            <w:r>
              <w:t>), 3 (25%) admitted to never using a shield, 50% wore one always. 3 stated availability was a factor for poor compliance, whilst 2 admitted ‘laziness’ was a factor. 1 stated they were uncomfortable. In 6 theatre cases, MDT compliance was only 65.3%.</w:t>
            </w:r>
          </w:p>
          <w:p w:rsidR="00D33466" w:rsidRDefault="00D33466" w:rsidP="001A44C0">
            <w:pPr>
              <w:spacing w:after="0" w:line="240" w:lineRule="auto"/>
              <w:rPr>
                <w:rFonts w:cs="Times New Roman"/>
              </w:rPr>
            </w:pPr>
          </w:p>
        </w:tc>
      </w:tr>
      <w:tr w:rsidR="00D33466" w:rsidTr="001A44C0">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1A44C0">
            <w:pPr>
              <w:spacing w:after="0" w:line="240" w:lineRule="auto"/>
            </w:pPr>
            <w:r>
              <w:rPr>
                <w:b/>
              </w:rPr>
              <w:t>Conclusion</w:t>
            </w:r>
            <w:r>
              <w:t>:</w:t>
            </w:r>
          </w:p>
          <w:p w:rsidR="00D33466" w:rsidRDefault="00D33466" w:rsidP="001A44C0">
            <w:pPr>
              <w:spacing w:after="0" w:line="240" w:lineRule="auto"/>
            </w:pPr>
            <w:r>
              <w:t>Thyroid shielding has been well understood to reduce exposure to radiation including scatter radiation during C-arm fluoroscopy and is commented on in EAU guidelines. Increased radiation is strongly linked with thyroid cancer, and those undertaking Urological rotations will accumulate exposure that may pose an occupational hazard during theatre. As such, we must ensure we protect each other and encourage thyroid shield usage.</w:t>
            </w:r>
          </w:p>
          <w:p w:rsidR="00D33466" w:rsidRDefault="00D33466" w:rsidP="001A44C0">
            <w:pPr>
              <w:spacing w:after="0" w:line="240" w:lineRule="auto"/>
              <w:rPr>
                <w:rFonts w:cs="Times New Roman"/>
              </w:rPr>
            </w:pPr>
          </w:p>
        </w:tc>
      </w:tr>
    </w:tbl>
    <w:p w:rsidR="00D33466" w:rsidRDefault="00D33466" w:rsidP="00D33466"/>
    <w:p w:rsidR="00D33466" w:rsidRDefault="00D33466" w:rsidP="00D33466"/>
    <w:p w:rsidR="00D33466" w:rsidRDefault="00D33466" w:rsidP="00D33466"/>
    <w:p w:rsidR="00D33466" w:rsidRDefault="00D33466" w:rsidP="00D33466"/>
    <w:p w:rsidR="00D33466" w:rsidRDefault="00D33466" w:rsidP="00D33466"/>
    <w:p w:rsidR="00D33466" w:rsidRDefault="00D33466" w:rsidP="00D33466"/>
    <w:p w:rsidR="00D33466" w:rsidRDefault="00D33466" w:rsidP="00D33466"/>
    <w:p w:rsidR="00D33466" w:rsidRDefault="00D33466" w:rsidP="00D33466"/>
    <w:p w:rsidR="00D33466" w:rsidRDefault="00D33466" w:rsidP="00D334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8"/>
        <w:gridCol w:w="3528"/>
      </w:tblGrid>
      <w:tr w:rsidR="00D33466" w:rsidTr="001A44C0">
        <w:tc>
          <w:tcPr>
            <w:tcW w:w="5488" w:type="dxa"/>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pPr>
            <w:r>
              <w:rPr>
                <w:b/>
              </w:rPr>
              <w:t>Name of Presenter</w:t>
            </w:r>
            <w:r>
              <w:t>:</w:t>
            </w:r>
          </w:p>
          <w:p w:rsidR="00D33466" w:rsidRDefault="00D33466" w:rsidP="00D33466">
            <w:pPr>
              <w:spacing w:after="0" w:line="240" w:lineRule="auto"/>
              <w:rPr>
                <w:rFonts w:cs="Times New Roman"/>
              </w:rPr>
            </w:pPr>
            <w:r w:rsidRPr="004E2FB0">
              <w:rPr>
                <w:rFonts w:cs="Times New Roman"/>
              </w:rPr>
              <w:t>James Liston </w:t>
            </w:r>
          </w:p>
          <w:p w:rsidR="001A44C0" w:rsidRDefault="001A44C0" w:rsidP="00D33466">
            <w:pPr>
              <w:spacing w:after="0" w:line="240" w:lineRule="auto"/>
              <w:rPr>
                <w:rFonts w:cs="Times New Roman"/>
              </w:rPr>
            </w:pPr>
          </w:p>
        </w:tc>
        <w:tc>
          <w:tcPr>
            <w:tcW w:w="3528" w:type="dxa"/>
            <w:tcBorders>
              <w:top w:val="single" w:sz="4" w:space="0" w:color="auto"/>
              <w:left w:val="single" w:sz="4" w:space="0" w:color="auto"/>
              <w:bottom w:val="single" w:sz="4" w:space="0" w:color="auto"/>
              <w:right w:val="single" w:sz="4" w:space="0" w:color="auto"/>
            </w:tcBorders>
            <w:hideMark/>
          </w:tcPr>
          <w:p w:rsidR="00D33466" w:rsidRDefault="00D33466" w:rsidP="00D33466">
            <w:pPr>
              <w:spacing w:after="0" w:line="240" w:lineRule="auto"/>
            </w:pPr>
            <w:r>
              <w:rPr>
                <w:b/>
              </w:rPr>
              <w:t>Training grade/post</w:t>
            </w:r>
            <w:r>
              <w:t>:</w:t>
            </w:r>
          </w:p>
          <w:p w:rsidR="00D33466" w:rsidRDefault="00D33466" w:rsidP="00D33466">
            <w:pPr>
              <w:spacing w:after="0" w:line="240" w:lineRule="auto"/>
              <w:rPr>
                <w:rFonts w:cs="Times New Roman"/>
              </w:rPr>
            </w:pPr>
            <w:r>
              <w:rPr>
                <w:rFonts w:cs="Times New Roman"/>
              </w:rPr>
              <w:t>ST3</w:t>
            </w:r>
          </w:p>
        </w:tc>
      </w:tr>
      <w:tr w:rsidR="00D33466" w:rsidTr="001A44C0">
        <w:tc>
          <w:tcPr>
            <w:tcW w:w="9016" w:type="dxa"/>
            <w:gridSpan w:val="2"/>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pPr>
            <w:r>
              <w:rPr>
                <w:b/>
              </w:rPr>
              <w:t>Institution</w:t>
            </w:r>
            <w:r>
              <w:t>:</w:t>
            </w:r>
          </w:p>
          <w:p w:rsidR="00D33466" w:rsidRDefault="00D33466" w:rsidP="00D33466">
            <w:pPr>
              <w:spacing w:after="0" w:line="240" w:lineRule="auto"/>
            </w:pPr>
            <w:r>
              <w:t>James Cook University Hospital</w:t>
            </w:r>
          </w:p>
          <w:p w:rsidR="001A44C0" w:rsidRDefault="001A44C0" w:rsidP="00D33466">
            <w:pPr>
              <w:spacing w:after="0" w:line="240" w:lineRule="auto"/>
              <w:rPr>
                <w:rFonts w:cs="Times New Roman"/>
              </w:rPr>
            </w:pPr>
          </w:p>
        </w:tc>
      </w:tr>
      <w:tr w:rsidR="00D33466" w:rsidTr="001A44C0">
        <w:tc>
          <w:tcPr>
            <w:tcW w:w="9016" w:type="dxa"/>
            <w:gridSpan w:val="2"/>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pPr>
            <w:r>
              <w:rPr>
                <w:b/>
              </w:rPr>
              <w:t>Title of Presentation</w:t>
            </w:r>
            <w:r>
              <w:t>:</w:t>
            </w:r>
          </w:p>
          <w:p w:rsidR="00D33466" w:rsidRDefault="00D33466" w:rsidP="00D33466">
            <w:pPr>
              <w:spacing w:after="0" w:line="240" w:lineRule="auto"/>
            </w:pPr>
            <w:r w:rsidRPr="004E2FB0">
              <w:t>What Do Trainees Want? A Study of Subspecialty Interests Among Northeast Urology Trainees </w:t>
            </w:r>
          </w:p>
          <w:p w:rsidR="001A44C0" w:rsidRDefault="001A44C0" w:rsidP="00D33466">
            <w:pPr>
              <w:spacing w:after="0" w:line="240" w:lineRule="auto"/>
              <w:rPr>
                <w:rFonts w:cs="Times New Roman"/>
              </w:rPr>
            </w:pPr>
          </w:p>
        </w:tc>
      </w:tr>
      <w:tr w:rsidR="00D33466" w:rsidTr="001A44C0">
        <w:tc>
          <w:tcPr>
            <w:tcW w:w="9016" w:type="dxa"/>
            <w:gridSpan w:val="2"/>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pPr>
            <w:r>
              <w:rPr>
                <w:b/>
              </w:rPr>
              <w:t>Authors</w:t>
            </w:r>
            <w:r>
              <w:t>:</w:t>
            </w:r>
          </w:p>
          <w:p w:rsidR="00D33466" w:rsidRDefault="00D33466" w:rsidP="00D33466">
            <w:pPr>
              <w:spacing w:after="0" w:line="240" w:lineRule="auto"/>
            </w:pPr>
            <w:r w:rsidRPr="004E2FB0">
              <w:t xml:space="preserve"> James Liston, Ahmed </w:t>
            </w:r>
            <w:proofErr w:type="spellStart"/>
            <w:r w:rsidRPr="004E2FB0">
              <w:t>Ghonaimy</w:t>
            </w:r>
            <w:proofErr w:type="spellEnd"/>
            <w:r w:rsidRPr="004E2FB0">
              <w:t>, Mehwash Nadeem </w:t>
            </w:r>
          </w:p>
          <w:p w:rsidR="001A44C0" w:rsidRDefault="001A44C0" w:rsidP="00D33466">
            <w:pPr>
              <w:spacing w:after="0" w:line="240" w:lineRule="auto"/>
              <w:rPr>
                <w:rFonts w:cs="Times New Roman"/>
              </w:rPr>
            </w:pPr>
          </w:p>
          <w:p w:rsidR="001A44C0" w:rsidRDefault="001A44C0" w:rsidP="00D33466">
            <w:pPr>
              <w:spacing w:after="0" w:line="240" w:lineRule="auto"/>
              <w:rPr>
                <w:rFonts w:cs="Times New Roman"/>
              </w:rPr>
            </w:pPr>
          </w:p>
        </w:tc>
      </w:tr>
      <w:tr w:rsidR="00D33466" w:rsidTr="001A44C0">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spacing w:after="0" w:line="240" w:lineRule="auto"/>
            </w:pPr>
            <w:r>
              <w:rPr>
                <w:b/>
              </w:rPr>
              <w:t>Aims</w:t>
            </w:r>
            <w:r>
              <w:t>:</w:t>
            </w:r>
          </w:p>
          <w:p w:rsidR="00D33466" w:rsidRDefault="00D33466" w:rsidP="00D33466">
            <w:pPr>
              <w:spacing w:after="0" w:line="240" w:lineRule="auto"/>
            </w:pPr>
            <w:r w:rsidRPr="004E2FB0">
              <w:t>Subspecialty interest in urology varies significantly among trainees, with a notable decline in the uptake of Functional, Female, Neuro-urology, and Urodynamics (FNUU). This study aimed to assess current subspecialty preferences and identify factors influencing these decisions among trainees in the Northeast deanery. </w:t>
            </w:r>
          </w:p>
          <w:p w:rsidR="001A44C0" w:rsidRDefault="001A44C0" w:rsidP="00D33466">
            <w:pPr>
              <w:spacing w:after="0" w:line="240" w:lineRule="auto"/>
              <w:rPr>
                <w:rFonts w:cs="Times New Roman"/>
              </w:rPr>
            </w:pPr>
          </w:p>
          <w:p w:rsidR="001A44C0" w:rsidRDefault="001A44C0" w:rsidP="00D33466">
            <w:pPr>
              <w:spacing w:after="0" w:line="240" w:lineRule="auto"/>
              <w:rPr>
                <w:rFonts w:cs="Times New Roman"/>
              </w:rPr>
            </w:pPr>
          </w:p>
        </w:tc>
      </w:tr>
      <w:tr w:rsidR="00D33466" w:rsidTr="001A44C0">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spacing w:after="0" w:line="240" w:lineRule="auto"/>
            </w:pPr>
            <w:r>
              <w:rPr>
                <w:b/>
              </w:rPr>
              <w:t>Methods</w:t>
            </w:r>
            <w:r>
              <w:t>:</w:t>
            </w:r>
          </w:p>
          <w:p w:rsidR="00D33466" w:rsidRDefault="00D33466" w:rsidP="00D33466">
            <w:pPr>
              <w:spacing w:after="0" w:line="240" w:lineRule="auto"/>
            </w:pPr>
            <w:bookmarkStart w:id="3" w:name="_Hlk178948019"/>
            <w:r w:rsidRPr="004E2FB0">
              <w:t>Northeast Urology trainees were asked to complete an anonymous survey via SurveyMonkey, distributed through a regional WhatsApp group. The nine-question survey focused on subspecialty preferences and the key factors considered when making these decisions. Additionally, the survey explored opinions about FNUU and the factors influencing these views. </w:t>
            </w:r>
            <w:bookmarkEnd w:id="3"/>
          </w:p>
          <w:p w:rsidR="001A44C0" w:rsidRDefault="001A44C0" w:rsidP="00D33466">
            <w:pPr>
              <w:spacing w:after="0" w:line="240" w:lineRule="auto"/>
              <w:rPr>
                <w:rFonts w:cs="Times New Roman"/>
              </w:rPr>
            </w:pPr>
          </w:p>
          <w:p w:rsidR="001A44C0" w:rsidRDefault="001A44C0" w:rsidP="00D33466">
            <w:pPr>
              <w:spacing w:after="0" w:line="240" w:lineRule="auto"/>
              <w:rPr>
                <w:rFonts w:cs="Times New Roman"/>
              </w:rPr>
            </w:pPr>
          </w:p>
        </w:tc>
      </w:tr>
      <w:tr w:rsidR="00D33466" w:rsidTr="001A44C0">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Pr="004E2FB0" w:rsidRDefault="00D33466" w:rsidP="00D33466">
            <w:pPr>
              <w:spacing w:after="0" w:line="240" w:lineRule="auto"/>
            </w:pPr>
            <w:r>
              <w:rPr>
                <w:b/>
              </w:rPr>
              <w:t>Results</w:t>
            </w:r>
            <w:r>
              <w:t>:</w:t>
            </w:r>
          </w:p>
          <w:p w:rsidR="00D33466" w:rsidRDefault="00D33466" w:rsidP="00D33466">
            <w:pPr>
              <w:spacing w:after="0" w:line="240" w:lineRule="auto"/>
            </w:pPr>
            <w:bookmarkStart w:id="4" w:name="_Hlk178948012"/>
            <w:r w:rsidRPr="004E2FB0">
              <w:t>The response rate was 71% (17/24 trainees).</w:t>
            </w:r>
            <w:proofErr w:type="spellStart"/>
            <w:r w:rsidRPr="004E2FB0">
              <w:t>Uro</w:t>
            </w:r>
            <w:proofErr w:type="spellEnd"/>
            <w:r w:rsidRPr="004E2FB0">
              <w:t>-Oncology was the most popular subspecialty (6 trainees), followed by Endourology (5) and Andrology (3). None of the trainees expressed an interest in FNUU, and 3 were undecided. The top factors influencing subspecialty choice were type of operations (17), work-life balance (12), and positive role models (11).Only 6 trainees reported having a minimum six-month placement in FNUU, and most rated their experience in FNUU as "okay" (11), with some rating it as good (4) or excellent (1).A majority (11 trainees) were unlikely or very unlikely to choose FNUU post-CCT, citing the patient cohort (15) and perceived non-rewarding outcomes (10)as key reasons. </w:t>
            </w:r>
            <w:bookmarkEnd w:id="4"/>
          </w:p>
          <w:p w:rsidR="001A44C0" w:rsidRDefault="001A44C0" w:rsidP="00D33466">
            <w:pPr>
              <w:spacing w:after="0" w:line="240" w:lineRule="auto"/>
              <w:rPr>
                <w:rFonts w:cs="Times New Roman"/>
              </w:rPr>
            </w:pPr>
          </w:p>
        </w:tc>
      </w:tr>
      <w:tr w:rsidR="00D33466" w:rsidTr="001A44C0">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spacing w:after="0" w:line="240" w:lineRule="auto"/>
            </w:pPr>
            <w:r>
              <w:rPr>
                <w:b/>
              </w:rPr>
              <w:t>Conclusion</w:t>
            </w:r>
            <w:r>
              <w:t>:</w:t>
            </w:r>
            <w:bookmarkStart w:id="5" w:name="_Hlk178948005"/>
          </w:p>
          <w:p w:rsidR="00D33466" w:rsidRDefault="00D33466" w:rsidP="00D33466">
            <w:pPr>
              <w:spacing w:after="0" w:line="240" w:lineRule="auto"/>
            </w:pPr>
            <w:r w:rsidRPr="004E2FB0">
              <w:t>There is a marked lack of interest in FNUU among Northeast trainees, highlighting the need for improved engagement and exposure to the subspecialty to increase uptake. </w:t>
            </w:r>
            <w:bookmarkEnd w:id="5"/>
          </w:p>
          <w:p w:rsidR="001A44C0" w:rsidRDefault="001A44C0" w:rsidP="00D33466">
            <w:pPr>
              <w:spacing w:after="0" w:line="240" w:lineRule="auto"/>
            </w:pPr>
          </w:p>
          <w:p w:rsidR="001A44C0" w:rsidRPr="004E2FB0" w:rsidRDefault="001A44C0" w:rsidP="00D33466">
            <w:pPr>
              <w:spacing w:after="0" w:line="240" w:lineRule="auto"/>
            </w:pPr>
          </w:p>
        </w:tc>
      </w:tr>
    </w:tbl>
    <w:p w:rsidR="00D33466" w:rsidRDefault="00D33466" w:rsidP="00D33466"/>
    <w:p w:rsidR="00D33466" w:rsidRDefault="00D33466" w:rsidP="00D33466"/>
    <w:p w:rsidR="00D33466" w:rsidRDefault="00D33466" w:rsidP="00D33466"/>
    <w:p w:rsidR="00D33466" w:rsidRDefault="00D33466" w:rsidP="00D33466"/>
    <w:p w:rsidR="00D33466" w:rsidRDefault="00D33466" w:rsidP="00D33466"/>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8"/>
        <w:gridCol w:w="4315"/>
      </w:tblGrid>
      <w:tr w:rsidR="00D33466" w:rsidTr="00D33466">
        <w:tc>
          <w:tcPr>
            <w:tcW w:w="5178" w:type="dxa"/>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pPr>
            <w:r>
              <w:rPr>
                <w:b/>
              </w:rPr>
              <w:t>Name of Presenter</w:t>
            </w:r>
            <w:r>
              <w:t>: Kalpesh Parmar</w:t>
            </w:r>
          </w:p>
          <w:p w:rsidR="00D33466" w:rsidRDefault="00D33466" w:rsidP="00D33466">
            <w:pPr>
              <w:spacing w:after="0" w:line="240" w:lineRule="auto"/>
              <w:rPr>
                <w:rFonts w:cs="Times New Roman"/>
              </w:rPr>
            </w:pPr>
          </w:p>
        </w:tc>
        <w:tc>
          <w:tcPr>
            <w:tcW w:w="4315" w:type="dxa"/>
            <w:tcBorders>
              <w:top w:val="single" w:sz="4" w:space="0" w:color="auto"/>
              <w:left w:val="single" w:sz="4" w:space="0" w:color="auto"/>
              <w:bottom w:val="single" w:sz="4" w:space="0" w:color="auto"/>
              <w:right w:val="single" w:sz="4" w:space="0" w:color="auto"/>
            </w:tcBorders>
            <w:hideMark/>
          </w:tcPr>
          <w:p w:rsidR="00D33466" w:rsidRDefault="00D33466" w:rsidP="00D33466">
            <w:pPr>
              <w:spacing w:after="0" w:line="240" w:lineRule="auto"/>
              <w:rPr>
                <w:rFonts w:cs="Times New Roman"/>
              </w:rPr>
            </w:pPr>
            <w:r>
              <w:rPr>
                <w:b/>
              </w:rPr>
              <w:t>Training grade/post</w:t>
            </w:r>
            <w:r>
              <w:t>: Robotic Fellow</w:t>
            </w:r>
          </w:p>
        </w:tc>
      </w:tr>
      <w:tr w:rsidR="00D33466" w:rsidTr="00D33466">
        <w:tc>
          <w:tcPr>
            <w:tcW w:w="9493" w:type="dxa"/>
            <w:gridSpan w:val="2"/>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pPr>
            <w:r>
              <w:rPr>
                <w:b/>
              </w:rPr>
              <w:t>Institution</w:t>
            </w:r>
            <w:r>
              <w:t>: Freeman Hospital, Newcastle NHS Trust</w:t>
            </w:r>
          </w:p>
          <w:p w:rsidR="00D33466" w:rsidRDefault="00D33466" w:rsidP="00D33466">
            <w:pPr>
              <w:spacing w:after="0" w:line="240" w:lineRule="auto"/>
              <w:rPr>
                <w:rFonts w:cs="Times New Roman"/>
              </w:rPr>
            </w:pPr>
          </w:p>
        </w:tc>
      </w:tr>
      <w:tr w:rsidR="00D33466" w:rsidTr="00D33466">
        <w:tc>
          <w:tcPr>
            <w:tcW w:w="9493" w:type="dxa"/>
            <w:gridSpan w:val="2"/>
            <w:tcBorders>
              <w:top w:val="single" w:sz="4" w:space="0" w:color="auto"/>
              <w:left w:val="single" w:sz="4" w:space="0" w:color="auto"/>
              <w:bottom w:val="single" w:sz="4" w:space="0" w:color="auto"/>
              <w:right w:val="single" w:sz="4" w:space="0" w:color="auto"/>
            </w:tcBorders>
          </w:tcPr>
          <w:p w:rsidR="00D33466" w:rsidRPr="00BD4DDB" w:rsidRDefault="00D33466" w:rsidP="00D33466">
            <w:pPr>
              <w:spacing w:line="360" w:lineRule="auto"/>
              <w:jc w:val="both"/>
              <w:rPr>
                <w:color w:val="000000" w:themeColor="text1"/>
                <w:lang w:val="en-US"/>
              </w:rPr>
            </w:pPr>
            <w:r>
              <w:rPr>
                <w:b/>
              </w:rPr>
              <w:t>Title of Presentation</w:t>
            </w:r>
            <w:r>
              <w:t>:</w:t>
            </w:r>
            <w:r>
              <w:rPr>
                <w:color w:val="000000" w:themeColor="text1"/>
                <w:lang w:val="en-US"/>
              </w:rPr>
              <w:t xml:space="preserve"> Back to the future: Bringing the sewn bowel anastomosis into the 21</w:t>
            </w:r>
            <w:r w:rsidRPr="005E640B">
              <w:rPr>
                <w:color w:val="000000" w:themeColor="text1"/>
                <w:vertAlign w:val="superscript"/>
                <w:lang w:val="en-US"/>
              </w:rPr>
              <w:t>st</w:t>
            </w:r>
            <w:r>
              <w:rPr>
                <w:color w:val="000000" w:themeColor="text1"/>
                <w:lang w:val="en-US"/>
              </w:rPr>
              <w:t xml:space="preserve"> century with the robotic approach in radical cystectomy; improving costs and reducing environmental impact</w:t>
            </w:r>
          </w:p>
        </w:tc>
      </w:tr>
      <w:tr w:rsidR="00D33466" w:rsidTr="00D33466">
        <w:tc>
          <w:tcPr>
            <w:tcW w:w="9493" w:type="dxa"/>
            <w:gridSpan w:val="2"/>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pPr>
            <w:r>
              <w:rPr>
                <w:b/>
              </w:rPr>
              <w:t>Authors</w:t>
            </w:r>
            <w:r>
              <w:t>:</w:t>
            </w:r>
          </w:p>
          <w:p w:rsidR="00D33466" w:rsidRDefault="00D33466" w:rsidP="00D33466">
            <w:pPr>
              <w:spacing w:after="0" w:line="240" w:lineRule="auto"/>
            </w:pPr>
            <w:r>
              <w:t>Kalpesh Parmar, Mark Johnson, Arjun Nambiar</w:t>
            </w:r>
          </w:p>
          <w:p w:rsidR="00D33466" w:rsidRDefault="00D33466" w:rsidP="00D33466">
            <w:pPr>
              <w:spacing w:after="0" w:line="240" w:lineRule="auto"/>
              <w:rPr>
                <w:rFonts w:cs="Times New Roman"/>
              </w:rPr>
            </w:pPr>
          </w:p>
        </w:tc>
      </w:tr>
      <w:tr w:rsidR="00D33466" w:rsidTr="00D33466">
        <w:tc>
          <w:tcPr>
            <w:tcW w:w="9493"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spacing w:after="0" w:line="240" w:lineRule="auto"/>
            </w:pPr>
            <w:r>
              <w:rPr>
                <w:b/>
              </w:rPr>
              <w:t>Aims</w:t>
            </w:r>
            <w:r>
              <w:t>:</w:t>
            </w:r>
          </w:p>
          <w:p w:rsidR="00D33466" w:rsidRPr="00BD4DDB" w:rsidRDefault="00D33466" w:rsidP="00D33466">
            <w:pPr>
              <w:spacing w:line="360" w:lineRule="auto"/>
              <w:jc w:val="both"/>
              <w:rPr>
                <w:color w:val="000000" w:themeColor="text1"/>
                <w:lang w:val="en-US"/>
              </w:rPr>
            </w:pPr>
            <w:proofErr w:type="gramStart"/>
            <w:r>
              <w:rPr>
                <w:color w:val="000000" w:themeColor="text1"/>
              </w:rPr>
              <w:t>The stapled anastomosis has become the standard for minimally invasive bowel reconfiguration, but is expensive</w:t>
            </w:r>
            <w:r w:rsidRPr="003A7E1E">
              <w:rPr>
                <w:color w:val="000000" w:themeColor="text1"/>
              </w:rPr>
              <w:t>.</w:t>
            </w:r>
            <w:proofErr w:type="gramEnd"/>
            <w:r>
              <w:rPr>
                <w:color w:val="000000" w:themeColor="text1"/>
              </w:rPr>
              <w:t xml:space="preserve"> The aim was to</w:t>
            </w:r>
            <w:r w:rsidRPr="001B4272">
              <w:rPr>
                <w:color w:val="000000" w:themeColor="text1"/>
              </w:rPr>
              <w:t xml:space="preserve"> assess the </w:t>
            </w:r>
            <w:r>
              <w:rPr>
                <w:color w:val="000000" w:themeColor="text1"/>
              </w:rPr>
              <w:t xml:space="preserve">cost benefit, time and safety outcomes of </w:t>
            </w:r>
            <w:r>
              <w:rPr>
                <w:color w:val="000000" w:themeColor="text1"/>
                <w:lang w:val="en-US"/>
              </w:rPr>
              <w:t>r</w:t>
            </w:r>
            <w:r w:rsidRPr="001B4272">
              <w:rPr>
                <w:color w:val="000000" w:themeColor="text1"/>
                <w:lang w:val="en-US"/>
              </w:rPr>
              <w:t>obotic sewn bowel anastomosis in radical cystectomy and intra-corporeal urinary diversion</w:t>
            </w:r>
            <w:r>
              <w:rPr>
                <w:color w:val="000000" w:themeColor="text1"/>
                <w:lang w:val="en-US"/>
              </w:rPr>
              <w:t>.</w:t>
            </w:r>
          </w:p>
        </w:tc>
      </w:tr>
      <w:tr w:rsidR="00D33466" w:rsidTr="00D33466">
        <w:tc>
          <w:tcPr>
            <w:tcW w:w="9493"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spacing w:after="0" w:line="240" w:lineRule="auto"/>
            </w:pPr>
            <w:r>
              <w:rPr>
                <w:b/>
              </w:rPr>
              <w:t>Methods</w:t>
            </w:r>
            <w:r>
              <w:t>:</w:t>
            </w:r>
          </w:p>
          <w:p w:rsidR="00D33466" w:rsidRDefault="00D33466" w:rsidP="00D33466">
            <w:pPr>
              <w:spacing w:after="0" w:line="360" w:lineRule="auto"/>
              <w:jc w:val="both"/>
            </w:pPr>
            <w:r w:rsidRPr="001B4272">
              <w:t xml:space="preserve">Analysis of </w:t>
            </w:r>
            <w:r>
              <w:t xml:space="preserve">a </w:t>
            </w:r>
            <w:r w:rsidRPr="001B4272">
              <w:t>prospective</w:t>
            </w:r>
            <w:r>
              <w:t>ly</w:t>
            </w:r>
            <w:r w:rsidRPr="001B4272">
              <w:t xml:space="preserve"> m</w:t>
            </w:r>
            <w:r>
              <w:t>aintained database of</w:t>
            </w:r>
            <w:r w:rsidRPr="001B4272">
              <w:t xml:space="preserve"> patients</w:t>
            </w:r>
            <w:r>
              <w:t xml:space="preserve"> undergoing r</w:t>
            </w:r>
            <w:r w:rsidRPr="001B4272">
              <w:t>obotic sewn bow</w:t>
            </w:r>
            <w:r>
              <w:t>el anastomosis from December 2023</w:t>
            </w:r>
            <w:r w:rsidRPr="001B4272">
              <w:t xml:space="preserve"> </w:t>
            </w:r>
            <w:r>
              <w:t>to</w:t>
            </w:r>
            <w:r w:rsidRPr="001B4272">
              <w:t xml:space="preserve"> September 2024</w:t>
            </w:r>
          </w:p>
          <w:p w:rsidR="00D33466" w:rsidRDefault="00D33466" w:rsidP="00D33466">
            <w:pPr>
              <w:spacing w:after="0" w:line="240" w:lineRule="auto"/>
              <w:rPr>
                <w:rFonts w:cs="Times New Roman"/>
              </w:rPr>
            </w:pPr>
          </w:p>
        </w:tc>
      </w:tr>
      <w:tr w:rsidR="00D33466" w:rsidTr="00D33466">
        <w:tc>
          <w:tcPr>
            <w:tcW w:w="9493"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spacing w:after="0" w:line="240" w:lineRule="auto"/>
            </w:pPr>
            <w:r>
              <w:rPr>
                <w:b/>
              </w:rPr>
              <w:t>Results</w:t>
            </w:r>
            <w:r>
              <w:t>:</w:t>
            </w:r>
          </w:p>
          <w:p w:rsidR="00D33466" w:rsidRDefault="00D33466" w:rsidP="00D33466">
            <w:pPr>
              <w:spacing w:line="360" w:lineRule="auto"/>
              <w:jc w:val="both"/>
            </w:pPr>
            <w:r>
              <w:t xml:space="preserve">20 patients were included during the study period. The mean age was 62.5 (32-78). 3 patients underwent benign cystectomy and 17 were for bladder cancer. The cost of robotic stapler is £333 + £142 per stapler fire. With an average of 4 fires used per case this brings a cost of £901. The cost of 2 </w:t>
            </w:r>
            <w:proofErr w:type="spellStart"/>
            <w:r>
              <w:t>stratafix</w:t>
            </w:r>
            <w:proofErr w:type="spellEnd"/>
            <w:r>
              <w:t xml:space="preserve"> and 2 </w:t>
            </w:r>
            <w:proofErr w:type="spellStart"/>
            <w:r>
              <w:t>vicryl</w:t>
            </w:r>
            <w:proofErr w:type="spellEnd"/>
            <w:r>
              <w:t xml:space="preserve"> sutures is less than £40. With 50-70 robotic cystectomy procedures performed per year at our centre, this could result in a saving of between £45,000 to £73,000. </w:t>
            </w:r>
          </w:p>
          <w:p w:rsidR="00D33466" w:rsidRDefault="00D33466" w:rsidP="00D33466">
            <w:pPr>
              <w:spacing w:line="360" w:lineRule="auto"/>
              <w:jc w:val="both"/>
            </w:pPr>
            <w:r>
              <w:t xml:space="preserve">The blood loss ranged from 50 -500 ml. The mean time for robot sewn bowel anastomosis was 45 minutes (35-45 minutes) and was no different from stapled bowel anastomosis. The mean time to bowel movement was 5 days. The mean hospital stay was 8 days (6-14) and 10 days (6-17) in sewn and stapled group respectively. There were no cases of post-op bowel obstruction requiring intervention in either group. </w:t>
            </w:r>
          </w:p>
          <w:p w:rsidR="00D33466" w:rsidRDefault="00D33466" w:rsidP="00D33466">
            <w:pPr>
              <w:spacing w:after="0" w:line="240" w:lineRule="auto"/>
              <w:rPr>
                <w:rFonts w:cs="Times New Roman"/>
              </w:rPr>
            </w:pPr>
          </w:p>
        </w:tc>
      </w:tr>
      <w:tr w:rsidR="00D33466" w:rsidTr="00D33466">
        <w:tc>
          <w:tcPr>
            <w:tcW w:w="9493"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spacing w:after="0" w:line="240" w:lineRule="auto"/>
            </w:pPr>
            <w:r>
              <w:rPr>
                <w:b/>
              </w:rPr>
              <w:t>Conclusion</w:t>
            </w:r>
            <w:r>
              <w:t>:</w:t>
            </w:r>
          </w:p>
          <w:p w:rsidR="00D33466" w:rsidRPr="00BD4DDB" w:rsidRDefault="00D33466" w:rsidP="00D33466">
            <w:pPr>
              <w:spacing w:line="360" w:lineRule="auto"/>
              <w:jc w:val="both"/>
              <w:rPr>
                <w:color w:val="000000" w:themeColor="text1"/>
                <w:lang w:val="en-US"/>
              </w:rPr>
            </w:pPr>
            <w:r>
              <w:t>Robot sewn bowel anastomosis is a suitable alternative to stapled anastomosis with significant reduction in cost. The days to bowel movement, length of stay and 30-day complication rate is no different with good overall outcomes.</w:t>
            </w:r>
          </w:p>
        </w:tc>
      </w:tr>
    </w:tbl>
    <w:p w:rsidR="00D33466" w:rsidRDefault="00D33466" w:rsidP="00D33466"/>
    <w:p w:rsidR="00D33466" w:rsidRDefault="00D33466" w:rsidP="00D334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8"/>
        <w:gridCol w:w="3528"/>
      </w:tblGrid>
      <w:tr w:rsidR="00D33466" w:rsidTr="001A44C0">
        <w:tc>
          <w:tcPr>
            <w:tcW w:w="5488" w:type="dxa"/>
            <w:tcBorders>
              <w:top w:val="single" w:sz="4" w:space="0" w:color="auto"/>
              <w:left w:val="single" w:sz="4" w:space="0" w:color="auto"/>
              <w:bottom w:val="single" w:sz="4" w:space="0" w:color="auto"/>
              <w:right w:val="single" w:sz="4" w:space="0" w:color="auto"/>
            </w:tcBorders>
          </w:tcPr>
          <w:p w:rsidR="00D33466" w:rsidRDefault="00D33466" w:rsidP="00D33466">
            <w:pPr>
              <w:spacing w:after="0" w:line="360" w:lineRule="auto"/>
              <w:rPr>
                <w:rFonts w:cs="Times New Roman"/>
              </w:rPr>
            </w:pPr>
            <w:r>
              <w:rPr>
                <w:b/>
              </w:rPr>
              <w:t>Name of Presenter</w:t>
            </w:r>
            <w:r>
              <w:t xml:space="preserve">: </w:t>
            </w:r>
            <w:r>
              <w:rPr>
                <w:rFonts w:cs="Times New Roman"/>
              </w:rPr>
              <w:t>Karthik Rajan</w:t>
            </w:r>
          </w:p>
          <w:p w:rsidR="001A44C0" w:rsidRPr="00E07F4D" w:rsidRDefault="001A44C0" w:rsidP="00D33466">
            <w:pPr>
              <w:spacing w:after="0" w:line="360" w:lineRule="auto"/>
            </w:pPr>
          </w:p>
        </w:tc>
        <w:tc>
          <w:tcPr>
            <w:tcW w:w="3528" w:type="dxa"/>
            <w:tcBorders>
              <w:top w:val="single" w:sz="4" w:space="0" w:color="auto"/>
              <w:left w:val="single" w:sz="4" w:space="0" w:color="auto"/>
              <w:bottom w:val="single" w:sz="4" w:space="0" w:color="auto"/>
              <w:right w:val="single" w:sz="4" w:space="0" w:color="auto"/>
            </w:tcBorders>
            <w:hideMark/>
          </w:tcPr>
          <w:p w:rsidR="00D33466" w:rsidRDefault="00D33466" w:rsidP="00D33466">
            <w:pPr>
              <w:spacing w:after="0" w:line="360" w:lineRule="auto"/>
              <w:rPr>
                <w:rFonts w:cs="Times New Roman"/>
              </w:rPr>
            </w:pPr>
            <w:r>
              <w:rPr>
                <w:b/>
              </w:rPr>
              <w:t>Training grade/post</w:t>
            </w:r>
            <w:r>
              <w:t>: ST6</w:t>
            </w:r>
          </w:p>
        </w:tc>
      </w:tr>
      <w:tr w:rsidR="00D33466" w:rsidTr="001A44C0">
        <w:tc>
          <w:tcPr>
            <w:tcW w:w="9016" w:type="dxa"/>
            <w:gridSpan w:val="2"/>
            <w:tcBorders>
              <w:top w:val="single" w:sz="4" w:space="0" w:color="auto"/>
              <w:left w:val="single" w:sz="4" w:space="0" w:color="auto"/>
              <w:bottom w:val="single" w:sz="4" w:space="0" w:color="auto"/>
              <w:right w:val="single" w:sz="4" w:space="0" w:color="auto"/>
            </w:tcBorders>
          </w:tcPr>
          <w:p w:rsidR="00D33466" w:rsidRDefault="00D33466" w:rsidP="00D33466">
            <w:pPr>
              <w:spacing w:after="0" w:line="360" w:lineRule="auto"/>
            </w:pPr>
            <w:r>
              <w:rPr>
                <w:b/>
              </w:rPr>
              <w:t>Institution</w:t>
            </w:r>
            <w:r>
              <w:t>: Freeman Hospital, Newcastle</w:t>
            </w:r>
          </w:p>
          <w:p w:rsidR="001A44C0" w:rsidRPr="00E07F4D" w:rsidRDefault="001A44C0" w:rsidP="00D33466">
            <w:pPr>
              <w:spacing w:after="0" w:line="360" w:lineRule="auto"/>
            </w:pPr>
          </w:p>
        </w:tc>
      </w:tr>
      <w:tr w:rsidR="00D33466" w:rsidTr="001A44C0">
        <w:tc>
          <w:tcPr>
            <w:tcW w:w="9016" w:type="dxa"/>
            <w:gridSpan w:val="2"/>
            <w:tcBorders>
              <w:top w:val="single" w:sz="4" w:space="0" w:color="auto"/>
              <w:left w:val="single" w:sz="4" w:space="0" w:color="auto"/>
              <w:bottom w:val="single" w:sz="4" w:space="0" w:color="auto"/>
              <w:right w:val="single" w:sz="4" w:space="0" w:color="auto"/>
            </w:tcBorders>
          </w:tcPr>
          <w:p w:rsidR="00D33466" w:rsidRDefault="00D33466" w:rsidP="00D33466">
            <w:pPr>
              <w:spacing w:after="0" w:line="360" w:lineRule="auto"/>
            </w:pPr>
            <w:r>
              <w:rPr>
                <w:b/>
              </w:rPr>
              <w:t>Title of Presentation</w:t>
            </w:r>
            <w:r>
              <w:t xml:space="preserve">: </w:t>
            </w:r>
            <w:r w:rsidRPr="00111CBC">
              <w:t>Evolution and Outcomes of Retroperitoneal Lymph Node Dissection: A Two-Decade Experience</w:t>
            </w:r>
          </w:p>
          <w:p w:rsidR="001A44C0" w:rsidRPr="00E07F4D" w:rsidRDefault="001A44C0" w:rsidP="00D33466">
            <w:pPr>
              <w:spacing w:after="0" w:line="360" w:lineRule="auto"/>
            </w:pPr>
          </w:p>
        </w:tc>
      </w:tr>
      <w:tr w:rsidR="00D33466" w:rsidTr="001A44C0">
        <w:tc>
          <w:tcPr>
            <w:tcW w:w="9016" w:type="dxa"/>
            <w:gridSpan w:val="2"/>
            <w:tcBorders>
              <w:top w:val="single" w:sz="4" w:space="0" w:color="auto"/>
              <w:left w:val="single" w:sz="4" w:space="0" w:color="auto"/>
              <w:bottom w:val="single" w:sz="4" w:space="0" w:color="auto"/>
              <w:right w:val="single" w:sz="4" w:space="0" w:color="auto"/>
            </w:tcBorders>
          </w:tcPr>
          <w:p w:rsidR="00D33466" w:rsidRDefault="00D33466" w:rsidP="00D33466">
            <w:pPr>
              <w:spacing w:after="0" w:line="360" w:lineRule="auto"/>
            </w:pPr>
            <w:r>
              <w:rPr>
                <w:b/>
              </w:rPr>
              <w:t>Authors</w:t>
            </w:r>
            <w:r>
              <w:t xml:space="preserve">: K. Rajan, I. </w:t>
            </w:r>
            <w:proofErr w:type="spellStart"/>
            <w:r>
              <w:t>Osiyemi</w:t>
            </w:r>
            <w:proofErr w:type="spellEnd"/>
            <w:r>
              <w:t xml:space="preserve">, J. Cutler, D. Thomas, E. </w:t>
            </w:r>
            <w:proofErr w:type="spellStart"/>
            <w:r>
              <w:t>Paez</w:t>
            </w:r>
            <w:proofErr w:type="spellEnd"/>
          </w:p>
          <w:p w:rsidR="001A44C0" w:rsidRPr="00E07F4D" w:rsidRDefault="001A44C0" w:rsidP="00D33466">
            <w:pPr>
              <w:spacing w:after="0" w:line="360" w:lineRule="auto"/>
            </w:pPr>
          </w:p>
        </w:tc>
      </w:tr>
      <w:tr w:rsidR="00D33466" w:rsidTr="001A44C0">
        <w:trPr>
          <w:trHeight w:val="1115"/>
        </w:trPr>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spacing w:after="0" w:line="240" w:lineRule="auto"/>
            </w:pPr>
            <w:r>
              <w:rPr>
                <w:b/>
              </w:rPr>
              <w:t>Aims</w:t>
            </w:r>
            <w:r>
              <w:t>:</w:t>
            </w:r>
          </w:p>
          <w:p w:rsidR="00D33466" w:rsidRDefault="00D33466" w:rsidP="00D33466">
            <w:pPr>
              <w:spacing w:after="0" w:line="240" w:lineRule="auto"/>
              <w:rPr>
                <w:rFonts w:ascii="Calibri" w:hAnsi="Calibri" w:cs="Calibri"/>
                <w:color w:val="000000"/>
              </w:rPr>
            </w:pPr>
            <w:r w:rsidRPr="0014319C">
              <w:rPr>
                <w:rFonts w:ascii="Calibri" w:hAnsi="Calibri" w:cs="Calibri"/>
              </w:rPr>
              <w:t xml:space="preserve">Retroperitoneal Lymph Node Dissection (RPLND) is an </w:t>
            </w:r>
            <w:proofErr w:type="spellStart"/>
            <w:r w:rsidRPr="0014319C">
              <w:rPr>
                <w:rFonts w:ascii="Calibri" w:hAnsi="Calibri" w:cs="Calibri"/>
              </w:rPr>
              <w:t>intergral</w:t>
            </w:r>
            <w:proofErr w:type="spellEnd"/>
            <w:r w:rsidRPr="0014319C">
              <w:rPr>
                <w:rFonts w:ascii="Calibri" w:hAnsi="Calibri" w:cs="Calibri"/>
              </w:rPr>
              <w:t xml:space="preserve"> part of multi-modality management of Testicular cancer.</w:t>
            </w:r>
            <w:r>
              <w:rPr>
                <w:rFonts w:ascii="Calibri" w:hAnsi="Calibri" w:cs="Calibri"/>
              </w:rPr>
              <w:t xml:space="preserve"> </w:t>
            </w:r>
            <w:r w:rsidRPr="0014319C">
              <w:rPr>
                <w:rFonts w:ascii="Calibri" w:hAnsi="Calibri" w:cs="Calibri"/>
                <w:color w:val="000000"/>
              </w:rPr>
              <w:t>This study aims to evaluate the long-term outcomes of RPLND</w:t>
            </w:r>
            <w:r>
              <w:rPr>
                <w:rFonts w:ascii="Calibri" w:hAnsi="Calibri" w:cs="Calibri"/>
                <w:color w:val="000000"/>
              </w:rPr>
              <w:t xml:space="preserve"> </w:t>
            </w:r>
            <w:r w:rsidRPr="0014319C">
              <w:rPr>
                <w:rFonts w:ascii="Calibri" w:hAnsi="Calibri" w:cs="Calibri"/>
                <w:color w:val="000000"/>
              </w:rPr>
              <w:t xml:space="preserve">performed at a tertiary hospital over a 20-year period. </w:t>
            </w:r>
          </w:p>
          <w:p w:rsidR="001A44C0" w:rsidRDefault="001A44C0" w:rsidP="00D33466">
            <w:pPr>
              <w:spacing w:after="0" w:line="240" w:lineRule="auto"/>
              <w:rPr>
                <w:rFonts w:cs="Times New Roman"/>
              </w:rPr>
            </w:pPr>
          </w:p>
        </w:tc>
      </w:tr>
      <w:tr w:rsidR="00D33466" w:rsidTr="001A44C0">
        <w:trPr>
          <w:trHeight w:val="1697"/>
        </w:trPr>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spacing w:after="0" w:line="240" w:lineRule="auto"/>
            </w:pPr>
            <w:r>
              <w:rPr>
                <w:b/>
              </w:rPr>
              <w:t>Methods</w:t>
            </w:r>
            <w:r>
              <w:t>:</w:t>
            </w:r>
          </w:p>
          <w:p w:rsidR="00D33466" w:rsidRDefault="00D33466" w:rsidP="00D33466">
            <w:pPr>
              <w:spacing w:after="0" w:line="240" w:lineRule="auto"/>
              <w:rPr>
                <w:rFonts w:ascii="Calibri" w:hAnsi="Calibri" w:cs="Calibri"/>
                <w:color w:val="000000"/>
              </w:rPr>
            </w:pPr>
            <w:r w:rsidRPr="0014319C">
              <w:rPr>
                <w:rFonts w:ascii="Calibri" w:hAnsi="Calibri" w:cs="Calibri"/>
                <w:color w:val="000000"/>
              </w:rPr>
              <w:t xml:space="preserve">A retrospective analysis of patients who underwent RPLND between </w:t>
            </w:r>
            <w:r>
              <w:rPr>
                <w:rFonts w:ascii="Calibri" w:hAnsi="Calibri" w:cs="Calibri"/>
                <w:color w:val="000000"/>
              </w:rPr>
              <w:t>February</w:t>
            </w:r>
            <w:r w:rsidRPr="0014319C">
              <w:rPr>
                <w:rFonts w:ascii="Calibri" w:hAnsi="Calibri" w:cs="Calibri"/>
                <w:color w:val="000000"/>
              </w:rPr>
              <w:t xml:space="preserve"> 200</w:t>
            </w:r>
            <w:r>
              <w:rPr>
                <w:rFonts w:ascii="Calibri" w:hAnsi="Calibri" w:cs="Calibri"/>
                <w:color w:val="000000"/>
              </w:rPr>
              <w:t>4</w:t>
            </w:r>
            <w:r w:rsidRPr="0014319C">
              <w:rPr>
                <w:rFonts w:ascii="Calibri" w:hAnsi="Calibri" w:cs="Calibri"/>
                <w:color w:val="000000"/>
              </w:rPr>
              <w:t xml:space="preserve"> and </w:t>
            </w:r>
            <w:r>
              <w:rPr>
                <w:rFonts w:ascii="Calibri" w:hAnsi="Calibri" w:cs="Calibri"/>
                <w:color w:val="000000"/>
              </w:rPr>
              <w:t>June 2024</w:t>
            </w:r>
            <w:r w:rsidRPr="0014319C">
              <w:rPr>
                <w:rFonts w:ascii="Calibri" w:hAnsi="Calibri" w:cs="Calibri"/>
                <w:color w:val="000000"/>
              </w:rPr>
              <w:t xml:space="preserve"> was conducted. Patient demographics, surgical indications, operative details, complications, histopathological findings, and oncological outcomes were recorded. Survival analysis was performed using Kaplan-Meier estimates, and complications were classified according to the </w:t>
            </w:r>
            <w:proofErr w:type="spellStart"/>
            <w:r w:rsidRPr="0014319C">
              <w:rPr>
                <w:rFonts w:ascii="Calibri" w:hAnsi="Calibri" w:cs="Calibri"/>
                <w:color w:val="000000"/>
              </w:rPr>
              <w:t>Clavien-Dindo</w:t>
            </w:r>
            <w:proofErr w:type="spellEnd"/>
            <w:r w:rsidRPr="0014319C">
              <w:rPr>
                <w:rFonts w:ascii="Calibri" w:hAnsi="Calibri" w:cs="Calibri"/>
                <w:color w:val="000000"/>
              </w:rPr>
              <w:t xml:space="preserve"> system.</w:t>
            </w:r>
          </w:p>
          <w:p w:rsidR="001A44C0" w:rsidRPr="00CF6A80" w:rsidRDefault="001A44C0" w:rsidP="00D33466">
            <w:pPr>
              <w:spacing w:after="0" w:line="240" w:lineRule="auto"/>
            </w:pPr>
          </w:p>
        </w:tc>
      </w:tr>
      <w:tr w:rsidR="00D33466" w:rsidTr="001A44C0">
        <w:trPr>
          <w:trHeight w:val="2813"/>
        </w:trPr>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spacing w:after="0" w:line="240" w:lineRule="auto"/>
            </w:pPr>
            <w:r>
              <w:rPr>
                <w:b/>
              </w:rPr>
              <w:t>Results</w:t>
            </w:r>
            <w:r>
              <w:t>:</w:t>
            </w:r>
          </w:p>
          <w:p w:rsidR="00D33466" w:rsidRDefault="00D33466" w:rsidP="00D33466">
            <w:pPr>
              <w:spacing w:line="240" w:lineRule="auto"/>
              <w:rPr>
                <w:rFonts w:ascii="Calibri" w:hAnsi="Calibri" w:cs="Calibri"/>
                <w:color w:val="000000"/>
              </w:rPr>
            </w:pPr>
            <w:r w:rsidRPr="0014319C">
              <w:rPr>
                <w:rFonts w:ascii="Calibri" w:hAnsi="Calibri" w:cs="Calibri"/>
                <w:color w:val="000000"/>
              </w:rPr>
              <w:t xml:space="preserve">A total of </w:t>
            </w:r>
            <w:r>
              <w:rPr>
                <w:rFonts w:ascii="Calibri" w:hAnsi="Calibri" w:cs="Calibri"/>
                <w:color w:val="000000"/>
              </w:rPr>
              <w:t>153</w:t>
            </w:r>
            <w:r w:rsidRPr="0014319C">
              <w:rPr>
                <w:rFonts w:ascii="Calibri" w:hAnsi="Calibri" w:cs="Calibri"/>
                <w:color w:val="000000"/>
              </w:rPr>
              <w:t xml:space="preserve"> patients were included in the study, with a median </w:t>
            </w:r>
            <w:r>
              <w:rPr>
                <w:rFonts w:ascii="Calibri" w:hAnsi="Calibri" w:cs="Calibri"/>
                <w:color w:val="000000"/>
              </w:rPr>
              <w:t>age</w:t>
            </w:r>
            <w:r w:rsidRPr="0014319C">
              <w:rPr>
                <w:rFonts w:ascii="Calibri" w:hAnsi="Calibri" w:cs="Calibri"/>
                <w:color w:val="000000"/>
              </w:rPr>
              <w:t xml:space="preserve"> of </w:t>
            </w:r>
            <w:r>
              <w:rPr>
                <w:rFonts w:ascii="Calibri" w:hAnsi="Calibri" w:cs="Calibri"/>
                <w:color w:val="000000"/>
              </w:rPr>
              <w:t>32</w:t>
            </w:r>
            <w:r w:rsidRPr="0014319C">
              <w:rPr>
                <w:rFonts w:ascii="Calibri" w:hAnsi="Calibri" w:cs="Calibri"/>
                <w:color w:val="000000"/>
              </w:rPr>
              <w:t xml:space="preserve"> years</w:t>
            </w:r>
            <w:r>
              <w:rPr>
                <w:rFonts w:ascii="Calibri" w:hAnsi="Calibri" w:cs="Calibri"/>
                <w:color w:val="000000"/>
              </w:rPr>
              <w:t xml:space="preserve"> (16-68 years)</w:t>
            </w:r>
            <w:r w:rsidRPr="0014319C">
              <w:rPr>
                <w:rFonts w:ascii="Calibri" w:hAnsi="Calibri" w:cs="Calibri"/>
                <w:color w:val="000000"/>
              </w:rPr>
              <w:t>. The most common indication for RPLND was non-</w:t>
            </w:r>
            <w:proofErr w:type="spellStart"/>
            <w:r w:rsidRPr="0014319C">
              <w:rPr>
                <w:rFonts w:ascii="Calibri" w:hAnsi="Calibri" w:cs="Calibri"/>
                <w:color w:val="000000"/>
              </w:rPr>
              <w:t>seminomatous</w:t>
            </w:r>
            <w:proofErr w:type="spellEnd"/>
            <w:r w:rsidRPr="0014319C">
              <w:rPr>
                <w:rFonts w:ascii="Calibri" w:hAnsi="Calibri" w:cs="Calibri"/>
                <w:color w:val="000000"/>
              </w:rPr>
              <w:t xml:space="preserve"> germ cell tumo</w:t>
            </w:r>
            <w:r>
              <w:rPr>
                <w:rFonts w:ascii="Calibri" w:hAnsi="Calibri" w:cs="Calibri"/>
                <w:color w:val="000000"/>
              </w:rPr>
              <w:t>u</w:t>
            </w:r>
            <w:r w:rsidRPr="0014319C">
              <w:rPr>
                <w:rFonts w:ascii="Calibri" w:hAnsi="Calibri" w:cs="Calibri"/>
                <w:color w:val="000000"/>
              </w:rPr>
              <w:t>rs (NSGCT) of the testis</w:t>
            </w:r>
            <w:r>
              <w:rPr>
                <w:rFonts w:ascii="Calibri" w:hAnsi="Calibri" w:cs="Calibri"/>
                <w:color w:val="000000"/>
              </w:rPr>
              <w:t xml:space="preserve"> in 88.6%. It was performed post-chemotherapy in 86.2% with BEP regimen used in 65.9%. Bilateral template RPLND was performed in 26.8</w:t>
            </w:r>
            <w:proofErr w:type="gramStart"/>
            <w:r>
              <w:rPr>
                <w:rFonts w:ascii="Calibri" w:hAnsi="Calibri" w:cs="Calibri"/>
                <w:color w:val="000000"/>
              </w:rPr>
              <w:t>%  and</w:t>
            </w:r>
            <w:proofErr w:type="gramEnd"/>
            <w:r>
              <w:rPr>
                <w:rFonts w:ascii="Calibri" w:hAnsi="Calibri" w:cs="Calibri"/>
                <w:color w:val="000000"/>
              </w:rPr>
              <w:t xml:space="preserve"> Left Nephrectomy was the most common adjunctive procedure performed in 7.3%. </w:t>
            </w:r>
            <w:r w:rsidRPr="0014319C">
              <w:rPr>
                <w:rFonts w:ascii="Calibri" w:hAnsi="Calibri" w:cs="Calibri"/>
                <w:color w:val="000000"/>
              </w:rPr>
              <w:t>Perioperative complication rates were 15%</w:t>
            </w:r>
            <w:proofErr w:type="gramStart"/>
            <w:r w:rsidRPr="0014319C">
              <w:rPr>
                <w:rFonts w:ascii="Calibri" w:hAnsi="Calibri" w:cs="Calibri"/>
                <w:color w:val="000000"/>
              </w:rPr>
              <w:t>,</w:t>
            </w:r>
            <w:r>
              <w:rPr>
                <w:rFonts w:ascii="Calibri" w:hAnsi="Calibri" w:cs="Calibri"/>
                <w:color w:val="000000"/>
              </w:rPr>
              <w:t>.</w:t>
            </w:r>
            <w:proofErr w:type="gramEnd"/>
            <w:r w:rsidRPr="0014319C">
              <w:rPr>
                <w:rFonts w:ascii="Calibri" w:hAnsi="Calibri" w:cs="Calibri"/>
                <w:color w:val="000000"/>
              </w:rPr>
              <w:t xml:space="preserve"> with the majority being </w:t>
            </w:r>
            <w:proofErr w:type="spellStart"/>
            <w:r w:rsidRPr="0014319C">
              <w:rPr>
                <w:rFonts w:ascii="Calibri" w:hAnsi="Calibri" w:cs="Calibri"/>
                <w:color w:val="000000"/>
              </w:rPr>
              <w:t>Clavien-Dindo</w:t>
            </w:r>
            <w:proofErr w:type="spellEnd"/>
            <w:r w:rsidRPr="0014319C">
              <w:rPr>
                <w:rFonts w:ascii="Calibri" w:hAnsi="Calibri" w:cs="Calibri"/>
                <w:color w:val="000000"/>
              </w:rPr>
              <w:t xml:space="preserve"> grade I-II. </w:t>
            </w:r>
            <w:r>
              <w:rPr>
                <w:rFonts w:ascii="Calibri" w:hAnsi="Calibri" w:cs="Calibri"/>
                <w:color w:val="000000"/>
              </w:rPr>
              <w:t xml:space="preserve">The median hospital stay was 6 days (2-35 days). Post-operative histology showed necrosis, mature teratoma and viable malignancy in 22.8%, 53.7% </w:t>
            </w:r>
            <w:proofErr w:type="gramStart"/>
            <w:r>
              <w:rPr>
                <w:rFonts w:ascii="Calibri" w:hAnsi="Calibri" w:cs="Calibri"/>
                <w:color w:val="000000"/>
              </w:rPr>
              <w:t>and  21.1</w:t>
            </w:r>
            <w:proofErr w:type="gramEnd"/>
            <w:r>
              <w:rPr>
                <w:rFonts w:ascii="Calibri" w:hAnsi="Calibri" w:cs="Calibri"/>
                <w:color w:val="000000"/>
              </w:rPr>
              <w:t>%respectively. Three</w:t>
            </w:r>
            <w:r w:rsidRPr="0014319C">
              <w:rPr>
                <w:rFonts w:ascii="Calibri" w:hAnsi="Calibri" w:cs="Calibri"/>
                <w:color w:val="000000"/>
              </w:rPr>
              <w:t xml:space="preserve">- and </w:t>
            </w:r>
            <w:r>
              <w:rPr>
                <w:rFonts w:ascii="Calibri" w:hAnsi="Calibri" w:cs="Calibri"/>
                <w:color w:val="000000"/>
              </w:rPr>
              <w:t>Five</w:t>
            </w:r>
            <w:r w:rsidRPr="0014319C">
              <w:rPr>
                <w:rFonts w:ascii="Calibri" w:hAnsi="Calibri" w:cs="Calibri"/>
                <w:color w:val="000000"/>
              </w:rPr>
              <w:t xml:space="preserve">-year disease-free survival rates were </w:t>
            </w:r>
            <w:r>
              <w:rPr>
                <w:rFonts w:ascii="Calibri" w:hAnsi="Calibri" w:cs="Calibri"/>
                <w:color w:val="000000"/>
              </w:rPr>
              <w:t>88</w:t>
            </w:r>
            <w:r w:rsidRPr="0014319C">
              <w:rPr>
                <w:rFonts w:ascii="Calibri" w:hAnsi="Calibri" w:cs="Calibri"/>
                <w:color w:val="000000"/>
              </w:rPr>
              <w:t>% and 8</w:t>
            </w:r>
            <w:r>
              <w:rPr>
                <w:rFonts w:ascii="Calibri" w:hAnsi="Calibri" w:cs="Calibri"/>
                <w:color w:val="000000"/>
              </w:rPr>
              <w:t>2</w:t>
            </w:r>
            <w:r w:rsidRPr="0014319C">
              <w:rPr>
                <w:rFonts w:ascii="Calibri" w:hAnsi="Calibri" w:cs="Calibri"/>
                <w:color w:val="000000"/>
              </w:rPr>
              <w:t>%, respectively. Recurrence occurred in 12% of cases, predominantly in patients with advanced-stage disease</w:t>
            </w:r>
          </w:p>
          <w:p w:rsidR="001A44C0" w:rsidRPr="00CF6A80" w:rsidRDefault="001A44C0" w:rsidP="00D33466">
            <w:pPr>
              <w:spacing w:line="240" w:lineRule="auto"/>
            </w:pPr>
          </w:p>
        </w:tc>
      </w:tr>
      <w:tr w:rsidR="00D33466" w:rsidTr="001A44C0">
        <w:trPr>
          <w:trHeight w:val="1404"/>
        </w:trPr>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spacing w:after="0" w:line="240" w:lineRule="auto"/>
            </w:pPr>
            <w:r>
              <w:rPr>
                <w:b/>
              </w:rPr>
              <w:t>Conclusion</w:t>
            </w:r>
            <w:r>
              <w:t>:</w:t>
            </w:r>
          </w:p>
          <w:p w:rsidR="00D33466" w:rsidRDefault="00D33466" w:rsidP="00D33466">
            <w:pPr>
              <w:spacing w:after="0" w:line="240" w:lineRule="auto"/>
              <w:rPr>
                <w:rFonts w:ascii="Calibri" w:hAnsi="Calibri" w:cs="Calibri"/>
                <w:color w:val="000000"/>
              </w:rPr>
            </w:pPr>
            <w:r w:rsidRPr="008349A1">
              <w:rPr>
                <w:rFonts w:ascii="Calibri" w:hAnsi="Calibri" w:cs="Calibri"/>
                <w:color w:val="000000"/>
              </w:rPr>
              <w:t xml:space="preserve">RPLND </w:t>
            </w:r>
            <w:r>
              <w:rPr>
                <w:rFonts w:ascii="Calibri" w:hAnsi="Calibri" w:cs="Calibri"/>
                <w:color w:val="000000"/>
              </w:rPr>
              <w:t>is a</w:t>
            </w:r>
            <w:r w:rsidRPr="008349A1">
              <w:rPr>
                <w:rFonts w:ascii="Calibri" w:hAnsi="Calibri" w:cs="Calibri"/>
                <w:color w:val="000000"/>
              </w:rPr>
              <w:t xml:space="preserve"> valuable and reliable option for managing testicular cancer demonstrating favourable long-term oncological outcomes with </w:t>
            </w:r>
            <w:r>
              <w:rPr>
                <w:rFonts w:ascii="Calibri" w:hAnsi="Calibri" w:cs="Calibri"/>
                <w:color w:val="000000"/>
              </w:rPr>
              <w:t>acceptable</w:t>
            </w:r>
            <w:r w:rsidRPr="008349A1">
              <w:rPr>
                <w:rFonts w:ascii="Calibri" w:hAnsi="Calibri" w:cs="Calibri"/>
                <w:color w:val="000000"/>
              </w:rPr>
              <w:t xml:space="preserve"> complication rates</w:t>
            </w:r>
            <w:r>
              <w:rPr>
                <w:rFonts w:ascii="Calibri" w:hAnsi="Calibri" w:cs="Calibri"/>
                <w:color w:val="000000"/>
              </w:rPr>
              <w:t xml:space="preserve">. </w:t>
            </w:r>
            <w:r w:rsidRPr="008349A1">
              <w:rPr>
                <w:rFonts w:ascii="Calibri" w:hAnsi="Calibri" w:cs="Calibri"/>
                <w:color w:val="000000"/>
              </w:rPr>
              <w:t xml:space="preserve">These results highlight the importance of RPLND </w:t>
            </w:r>
            <w:r>
              <w:rPr>
                <w:rFonts w:ascii="Calibri" w:hAnsi="Calibri" w:cs="Calibri"/>
                <w:color w:val="000000"/>
              </w:rPr>
              <w:t>in combination with</w:t>
            </w:r>
            <w:r w:rsidRPr="008349A1">
              <w:rPr>
                <w:rFonts w:ascii="Calibri" w:hAnsi="Calibri" w:cs="Calibri"/>
                <w:color w:val="000000"/>
              </w:rPr>
              <w:t xml:space="preserve"> multimodal treatments like chemotherapy for improved overall survival.</w:t>
            </w:r>
          </w:p>
          <w:p w:rsidR="001A44C0" w:rsidRPr="00CF6A80" w:rsidRDefault="001A44C0" w:rsidP="00D33466">
            <w:pPr>
              <w:spacing w:after="0" w:line="240" w:lineRule="auto"/>
            </w:pPr>
          </w:p>
        </w:tc>
      </w:tr>
    </w:tbl>
    <w:p w:rsidR="00D33466" w:rsidRDefault="00D33466" w:rsidP="00D334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8"/>
        <w:gridCol w:w="3528"/>
      </w:tblGrid>
      <w:tr w:rsidR="00D33466" w:rsidTr="001A44C0">
        <w:tc>
          <w:tcPr>
            <w:tcW w:w="5488" w:type="dxa"/>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pPr>
            <w:r>
              <w:rPr>
                <w:b/>
              </w:rPr>
              <w:t>Name of Presenter</w:t>
            </w:r>
            <w:r>
              <w:t>: K Kuruvilla Zachariah</w:t>
            </w:r>
          </w:p>
          <w:p w:rsidR="00D33466" w:rsidRDefault="00D33466" w:rsidP="00D33466">
            <w:pPr>
              <w:spacing w:after="0" w:line="240" w:lineRule="auto"/>
              <w:rPr>
                <w:rFonts w:cs="Times New Roman"/>
              </w:rPr>
            </w:pPr>
          </w:p>
        </w:tc>
        <w:tc>
          <w:tcPr>
            <w:tcW w:w="3528" w:type="dxa"/>
            <w:tcBorders>
              <w:top w:val="single" w:sz="4" w:space="0" w:color="auto"/>
              <w:left w:val="single" w:sz="4" w:space="0" w:color="auto"/>
              <w:bottom w:val="single" w:sz="4" w:space="0" w:color="auto"/>
              <w:right w:val="single" w:sz="4" w:space="0" w:color="auto"/>
            </w:tcBorders>
            <w:hideMark/>
          </w:tcPr>
          <w:p w:rsidR="00D33466" w:rsidRDefault="00D33466" w:rsidP="00D33466">
            <w:pPr>
              <w:spacing w:after="0" w:line="240" w:lineRule="auto"/>
              <w:rPr>
                <w:rFonts w:cs="Times New Roman"/>
              </w:rPr>
            </w:pPr>
            <w:r>
              <w:rPr>
                <w:b/>
              </w:rPr>
              <w:t>Training grade/post</w:t>
            </w:r>
            <w:r>
              <w:t>: Associate Specialist</w:t>
            </w:r>
          </w:p>
        </w:tc>
      </w:tr>
      <w:tr w:rsidR="00D33466" w:rsidTr="001A44C0">
        <w:tc>
          <w:tcPr>
            <w:tcW w:w="9016" w:type="dxa"/>
            <w:gridSpan w:val="2"/>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pPr>
            <w:r>
              <w:rPr>
                <w:b/>
              </w:rPr>
              <w:t>Institution</w:t>
            </w:r>
            <w:r>
              <w:t>:</w:t>
            </w:r>
          </w:p>
          <w:p w:rsidR="00D33466" w:rsidRDefault="00D33466" w:rsidP="00D33466">
            <w:pPr>
              <w:spacing w:after="0" w:line="240" w:lineRule="auto"/>
              <w:rPr>
                <w:rFonts w:cs="Times New Roman"/>
              </w:rPr>
            </w:pPr>
            <w:r>
              <w:rPr>
                <w:rFonts w:cs="Times New Roman"/>
              </w:rPr>
              <w:t>Wansbeck General Hospital</w:t>
            </w:r>
          </w:p>
        </w:tc>
      </w:tr>
      <w:tr w:rsidR="00D33466" w:rsidTr="001A44C0">
        <w:tc>
          <w:tcPr>
            <w:tcW w:w="9016" w:type="dxa"/>
            <w:gridSpan w:val="2"/>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pPr>
            <w:r>
              <w:rPr>
                <w:b/>
              </w:rPr>
              <w:t>Title of Presentation</w:t>
            </w:r>
            <w:r>
              <w:t>:</w:t>
            </w:r>
          </w:p>
          <w:p w:rsidR="00D33466" w:rsidRDefault="00D33466" w:rsidP="00D33466">
            <w:pPr>
              <w:spacing w:after="0" w:line="240" w:lineRule="auto"/>
            </w:pPr>
            <w:r>
              <w:t>Prospective Audit of One Stop Urology Clinic</w:t>
            </w:r>
          </w:p>
          <w:p w:rsidR="00D33466" w:rsidRDefault="00D33466" w:rsidP="00D33466">
            <w:pPr>
              <w:spacing w:after="0" w:line="240" w:lineRule="auto"/>
              <w:rPr>
                <w:rFonts w:cs="Times New Roman"/>
              </w:rPr>
            </w:pPr>
          </w:p>
        </w:tc>
      </w:tr>
      <w:tr w:rsidR="00D33466" w:rsidTr="001A44C0">
        <w:tc>
          <w:tcPr>
            <w:tcW w:w="9016" w:type="dxa"/>
            <w:gridSpan w:val="2"/>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pPr>
            <w:r>
              <w:rPr>
                <w:b/>
              </w:rPr>
              <w:t>Authors</w:t>
            </w:r>
            <w:r>
              <w:t xml:space="preserve">:  </w:t>
            </w:r>
          </w:p>
          <w:p w:rsidR="00D33466" w:rsidRDefault="00D33466" w:rsidP="00D33466">
            <w:pPr>
              <w:spacing w:after="0" w:line="240" w:lineRule="auto"/>
            </w:pPr>
            <w:r>
              <w:t>K Kuruvilla Zachariah</w:t>
            </w:r>
          </w:p>
          <w:p w:rsidR="00D33466" w:rsidRDefault="00D33466" w:rsidP="00D33466">
            <w:pPr>
              <w:spacing w:after="0" w:line="240" w:lineRule="auto"/>
            </w:pPr>
            <w:r>
              <w:t>Chris Hall</w:t>
            </w:r>
          </w:p>
          <w:p w:rsidR="00D33466" w:rsidRDefault="00D33466" w:rsidP="00D33466">
            <w:pPr>
              <w:spacing w:after="0" w:line="240" w:lineRule="auto"/>
              <w:rPr>
                <w:rFonts w:cs="Times New Roman"/>
              </w:rPr>
            </w:pPr>
          </w:p>
        </w:tc>
      </w:tr>
      <w:tr w:rsidR="00D33466" w:rsidTr="001A44C0">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spacing w:after="0" w:line="240" w:lineRule="auto"/>
            </w:pPr>
            <w:r>
              <w:rPr>
                <w:b/>
              </w:rPr>
              <w:t>Aims</w:t>
            </w:r>
            <w:r>
              <w:t>:</w:t>
            </w:r>
          </w:p>
          <w:p w:rsidR="00D33466" w:rsidRDefault="00D33466" w:rsidP="00D33466">
            <w:pPr>
              <w:spacing w:after="0" w:line="240" w:lineRule="auto"/>
            </w:pPr>
            <w:r>
              <w:t>To assess outcomes of the clinic, improvements in patient journey, patient feedback, efficiency savings and identify improvements to make the clinic more efficient.</w:t>
            </w:r>
          </w:p>
          <w:p w:rsidR="00D33466" w:rsidRDefault="00D33466" w:rsidP="00D33466">
            <w:pPr>
              <w:spacing w:after="0" w:line="240" w:lineRule="auto"/>
              <w:rPr>
                <w:rFonts w:cs="Times New Roman"/>
              </w:rPr>
            </w:pPr>
          </w:p>
        </w:tc>
      </w:tr>
      <w:tr w:rsidR="00D33466" w:rsidTr="001A44C0">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spacing w:after="0" w:line="240" w:lineRule="auto"/>
            </w:pPr>
            <w:r>
              <w:rPr>
                <w:b/>
              </w:rPr>
              <w:t>Methods</w:t>
            </w:r>
            <w:r>
              <w:t>:</w:t>
            </w:r>
          </w:p>
          <w:p w:rsidR="00D33466" w:rsidRDefault="00D33466" w:rsidP="00D33466">
            <w:pPr>
              <w:spacing w:after="0" w:line="240" w:lineRule="auto"/>
            </w:pPr>
            <w:r>
              <w:t>Prospective collection of data and analysis, process mapping and patient feedback</w:t>
            </w:r>
          </w:p>
          <w:p w:rsidR="00D33466" w:rsidRDefault="00D33466" w:rsidP="00D33466">
            <w:pPr>
              <w:spacing w:after="0" w:line="240" w:lineRule="auto"/>
              <w:rPr>
                <w:rFonts w:cs="Times New Roman"/>
              </w:rPr>
            </w:pPr>
          </w:p>
        </w:tc>
      </w:tr>
      <w:tr w:rsidR="00D33466" w:rsidTr="001A44C0">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spacing w:after="0" w:line="240" w:lineRule="auto"/>
            </w:pPr>
            <w:r>
              <w:rPr>
                <w:b/>
              </w:rPr>
              <w:t>Results</w:t>
            </w:r>
            <w:r>
              <w:t>:</w:t>
            </w:r>
          </w:p>
          <w:p w:rsidR="00D33466" w:rsidRDefault="00D33466" w:rsidP="00D33466">
            <w:pPr>
              <w:spacing w:after="0" w:line="240" w:lineRule="auto"/>
            </w:pPr>
            <w:r>
              <w:t xml:space="preserve">126 appointments / 118 patients over 6 months. 57 UTI and 61 LUTS patients; 74 males and 44 females. Mean age 65. </w:t>
            </w:r>
          </w:p>
          <w:p w:rsidR="00D33466" w:rsidRDefault="00D33466" w:rsidP="00D33466">
            <w:pPr>
              <w:spacing w:after="0" w:line="240" w:lineRule="auto"/>
            </w:pPr>
            <w:r>
              <w:t xml:space="preserve">51 flexible cystoscopies, 69 flow rates, 20 TRUS Volume scans and 49 residual scans done. 63% discharged; 90% had their decision made on the day. </w:t>
            </w:r>
          </w:p>
          <w:p w:rsidR="00D33466" w:rsidRDefault="00D33466" w:rsidP="00D33466">
            <w:pPr>
              <w:spacing w:after="0" w:line="240" w:lineRule="auto"/>
            </w:pPr>
            <w:r>
              <w:t>8 patients required repeat appointment for flexible cystoscopy.  14 patients needed outpatient follow up. 15% booked for surgery. Process mapping showed appointments reduced from 5 to 1 and time to decision making reduced from over 7 months to 4 hours.</w:t>
            </w:r>
          </w:p>
          <w:p w:rsidR="00D33466" w:rsidRDefault="00D33466" w:rsidP="00D33466">
            <w:pPr>
              <w:spacing w:after="0" w:line="240" w:lineRule="auto"/>
            </w:pPr>
            <w:r>
              <w:t xml:space="preserve">Patient feedback showed 98% met all expectations and 100% will recommend the clinic to family and friends. </w:t>
            </w:r>
          </w:p>
          <w:p w:rsidR="00D33466" w:rsidRDefault="00D33466" w:rsidP="00D33466">
            <w:pPr>
              <w:spacing w:after="0" w:line="240" w:lineRule="auto"/>
              <w:rPr>
                <w:rFonts w:cs="Times New Roman"/>
              </w:rPr>
            </w:pPr>
          </w:p>
        </w:tc>
      </w:tr>
      <w:tr w:rsidR="00D33466" w:rsidTr="001A44C0">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spacing w:after="0" w:line="240" w:lineRule="auto"/>
            </w:pPr>
            <w:r>
              <w:rPr>
                <w:b/>
              </w:rPr>
              <w:t>Conclusion</w:t>
            </w:r>
            <w:r>
              <w:t>:</w:t>
            </w:r>
          </w:p>
          <w:p w:rsidR="00D33466" w:rsidRDefault="00D33466" w:rsidP="00D33466">
            <w:pPr>
              <w:spacing w:after="0" w:line="240" w:lineRule="auto"/>
            </w:pPr>
            <w:r>
              <w:t>One stop Urology Clinic succeeded in achieving its aims by reducing the number of hospital appointments by 80% and time to decision making from over 7 months to only 4 hours. Travel and time costs reduced to patients with almost 100% complete patient satisfaction. Only 12% of patients needed clinic review. Actions to improve efficiency identified and instituted.</w:t>
            </w:r>
          </w:p>
          <w:p w:rsidR="00D33466" w:rsidRDefault="00D33466" w:rsidP="00D33466">
            <w:pPr>
              <w:spacing w:after="0" w:line="240" w:lineRule="auto"/>
              <w:rPr>
                <w:rFonts w:cs="Times New Roman"/>
              </w:rPr>
            </w:pPr>
          </w:p>
        </w:tc>
      </w:tr>
    </w:tbl>
    <w:p w:rsidR="00D33466" w:rsidRDefault="00D33466" w:rsidP="00D33466"/>
    <w:p w:rsidR="00D33466" w:rsidRDefault="00D33466" w:rsidP="00D33466"/>
    <w:p w:rsidR="00D33466" w:rsidRDefault="00D33466" w:rsidP="00D33466"/>
    <w:p w:rsidR="00D33466" w:rsidRDefault="00D33466" w:rsidP="00D33466"/>
    <w:p w:rsidR="001A44C0" w:rsidRDefault="001A44C0" w:rsidP="00D33466"/>
    <w:p w:rsidR="001A44C0" w:rsidRDefault="001A44C0" w:rsidP="00D33466"/>
    <w:p w:rsidR="001A44C0" w:rsidRDefault="001A44C0" w:rsidP="00D33466"/>
    <w:tbl>
      <w:tblPr>
        <w:tblW w:w="9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6"/>
        <w:gridCol w:w="3553"/>
      </w:tblGrid>
      <w:tr w:rsidR="00D33466" w:rsidTr="00D33466">
        <w:trPr>
          <w:trHeight w:val="540"/>
        </w:trPr>
        <w:tc>
          <w:tcPr>
            <w:tcW w:w="5516" w:type="dxa"/>
            <w:tcBorders>
              <w:top w:val="single" w:sz="4" w:space="0" w:color="auto"/>
              <w:left w:val="single" w:sz="4" w:space="0" w:color="auto"/>
              <w:bottom w:val="single" w:sz="4" w:space="0" w:color="auto"/>
              <w:right w:val="single" w:sz="4" w:space="0" w:color="auto"/>
            </w:tcBorders>
          </w:tcPr>
          <w:p w:rsidR="00D33466" w:rsidRPr="00D57823" w:rsidRDefault="00D33466" w:rsidP="00D33466">
            <w:pPr>
              <w:spacing w:after="0" w:line="240" w:lineRule="auto"/>
              <w:rPr>
                <w:sz w:val="24"/>
                <w:szCs w:val="24"/>
              </w:rPr>
            </w:pPr>
            <w:r w:rsidRPr="00D57823">
              <w:rPr>
                <w:b/>
                <w:sz w:val="24"/>
                <w:szCs w:val="24"/>
              </w:rPr>
              <w:t>Name of Presenter</w:t>
            </w:r>
            <w:r w:rsidRPr="00D57823">
              <w:rPr>
                <w:sz w:val="24"/>
                <w:szCs w:val="24"/>
              </w:rPr>
              <w:t xml:space="preserve">: </w:t>
            </w:r>
            <w:r w:rsidRPr="00D57823">
              <w:rPr>
                <w:rFonts w:cs="Times New Roman"/>
                <w:sz w:val="24"/>
                <w:szCs w:val="24"/>
              </w:rPr>
              <w:t xml:space="preserve">Dr Ozlem </w:t>
            </w:r>
            <w:proofErr w:type="spellStart"/>
            <w:r w:rsidRPr="00D57823">
              <w:rPr>
                <w:rFonts w:cs="Times New Roman"/>
                <w:sz w:val="24"/>
                <w:szCs w:val="24"/>
              </w:rPr>
              <w:t>Boztepe</w:t>
            </w:r>
            <w:proofErr w:type="spellEnd"/>
          </w:p>
        </w:tc>
        <w:tc>
          <w:tcPr>
            <w:tcW w:w="3553" w:type="dxa"/>
            <w:tcBorders>
              <w:top w:val="single" w:sz="4" w:space="0" w:color="auto"/>
              <w:left w:val="single" w:sz="4" w:space="0" w:color="auto"/>
              <w:bottom w:val="single" w:sz="4" w:space="0" w:color="auto"/>
              <w:right w:val="single" w:sz="4" w:space="0" w:color="auto"/>
            </w:tcBorders>
            <w:hideMark/>
          </w:tcPr>
          <w:p w:rsidR="00D33466" w:rsidRDefault="00D33466" w:rsidP="00D33466">
            <w:pPr>
              <w:spacing w:after="0" w:line="240" w:lineRule="auto"/>
            </w:pPr>
            <w:r>
              <w:rPr>
                <w:b/>
              </w:rPr>
              <w:t>Training grade/post</w:t>
            </w:r>
            <w:r>
              <w:t>:</w:t>
            </w:r>
          </w:p>
          <w:p w:rsidR="00D33466" w:rsidRDefault="00D33466" w:rsidP="00D33466">
            <w:pPr>
              <w:spacing w:after="0" w:line="240" w:lineRule="auto"/>
              <w:rPr>
                <w:rFonts w:cs="Times New Roman"/>
              </w:rPr>
            </w:pPr>
            <w:r>
              <w:t>Urology Teaching Fellow</w:t>
            </w:r>
          </w:p>
        </w:tc>
      </w:tr>
      <w:tr w:rsidR="00D33466" w:rsidTr="00D33466">
        <w:trPr>
          <w:trHeight w:val="277"/>
        </w:trPr>
        <w:tc>
          <w:tcPr>
            <w:tcW w:w="9069" w:type="dxa"/>
            <w:gridSpan w:val="2"/>
            <w:tcBorders>
              <w:top w:val="single" w:sz="4" w:space="0" w:color="auto"/>
              <w:left w:val="single" w:sz="4" w:space="0" w:color="auto"/>
              <w:bottom w:val="single" w:sz="4" w:space="0" w:color="auto"/>
              <w:right w:val="single" w:sz="4" w:space="0" w:color="auto"/>
            </w:tcBorders>
          </w:tcPr>
          <w:p w:rsidR="00D33466" w:rsidRPr="00D57823" w:rsidRDefault="00D33466" w:rsidP="00D33466">
            <w:pPr>
              <w:spacing w:after="0" w:line="240" w:lineRule="auto"/>
              <w:rPr>
                <w:sz w:val="24"/>
                <w:szCs w:val="24"/>
              </w:rPr>
            </w:pPr>
            <w:r w:rsidRPr="00D57823">
              <w:rPr>
                <w:b/>
                <w:sz w:val="24"/>
                <w:szCs w:val="24"/>
              </w:rPr>
              <w:t>Institution</w:t>
            </w:r>
            <w:r w:rsidRPr="00D57823">
              <w:rPr>
                <w:sz w:val="24"/>
                <w:szCs w:val="24"/>
              </w:rPr>
              <w:t xml:space="preserve">: </w:t>
            </w:r>
            <w:r w:rsidRPr="00D57823">
              <w:rPr>
                <w:rFonts w:cs="Times New Roman"/>
                <w:sz w:val="24"/>
                <w:szCs w:val="24"/>
              </w:rPr>
              <w:t xml:space="preserve">James Cook University Hospital </w:t>
            </w:r>
          </w:p>
        </w:tc>
      </w:tr>
      <w:tr w:rsidR="00D33466" w:rsidTr="00D33466">
        <w:trPr>
          <w:trHeight w:val="691"/>
        </w:trPr>
        <w:tc>
          <w:tcPr>
            <w:tcW w:w="9069" w:type="dxa"/>
            <w:gridSpan w:val="2"/>
            <w:tcBorders>
              <w:top w:val="single" w:sz="4" w:space="0" w:color="auto"/>
              <w:left w:val="single" w:sz="4" w:space="0" w:color="auto"/>
              <w:bottom w:val="single" w:sz="4" w:space="0" w:color="auto"/>
              <w:right w:val="single" w:sz="4" w:space="0" w:color="auto"/>
            </w:tcBorders>
          </w:tcPr>
          <w:p w:rsidR="00D33466" w:rsidRPr="00D57823" w:rsidRDefault="00D33466" w:rsidP="00D33466">
            <w:pPr>
              <w:spacing w:after="0" w:line="240" w:lineRule="auto"/>
              <w:rPr>
                <w:sz w:val="24"/>
                <w:szCs w:val="24"/>
              </w:rPr>
            </w:pPr>
            <w:r w:rsidRPr="00D57823">
              <w:rPr>
                <w:b/>
                <w:sz w:val="24"/>
                <w:szCs w:val="24"/>
              </w:rPr>
              <w:t>Title of Presentation</w:t>
            </w:r>
            <w:r w:rsidRPr="00D57823">
              <w:rPr>
                <w:sz w:val="24"/>
                <w:szCs w:val="24"/>
              </w:rPr>
              <w:t>:</w:t>
            </w:r>
          </w:p>
          <w:p w:rsidR="00D33466" w:rsidRDefault="00D33466" w:rsidP="00D33466">
            <w:pPr>
              <w:spacing w:after="0"/>
              <w:rPr>
                <w:rFonts w:cs="Arial"/>
                <w:sz w:val="24"/>
                <w:szCs w:val="24"/>
              </w:rPr>
            </w:pPr>
            <w:r>
              <w:rPr>
                <w:rFonts w:cs="Arial"/>
                <w:sz w:val="24"/>
                <w:szCs w:val="24"/>
              </w:rPr>
              <w:t xml:space="preserve">For the gel of </w:t>
            </w:r>
            <w:proofErr w:type="gramStart"/>
            <w:r>
              <w:rPr>
                <w:rFonts w:cs="Arial"/>
                <w:sz w:val="24"/>
                <w:szCs w:val="24"/>
              </w:rPr>
              <w:t>it;</w:t>
            </w:r>
            <w:proofErr w:type="gramEnd"/>
            <w:r>
              <w:rPr>
                <w:rFonts w:cs="Arial"/>
                <w:sz w:val="24"/>
                <w:szCs w:val="24"/>
              </w:rPr>
              <w:t xml:space="preserve"> w</w:t>
            </w:r>
            <w:r w:rsidRPr="00D57823">
              <w:rPr>
                <w:rFonts w:cs="Arial"/>
                <w:sz w:val="24"/>
                <w:szCs w:val="24"/>
              </w:rPr>
              <w:t xml:space="preserve">hy are we scanning men with </w:t>
            </w:r>
            <w:proofErr w:type="spellStart"/>
            <w:r w:rsidRPr="00D57823">
              <w:rPr>
                <w:rFonts w:cs="Arial"/>
                <w:sz w:val="24"/>
                <w:szCs w:val="24"/>
              </w:rPr>
              <w:t>epididymo-orchitis</w:t>
            </w:r>
            <w:proofErr w:type="spellEnd"/>
            <w:r w:rsidRPr="00D57823">
              <w:rPr>
                <w:rFonts w:cs="Arial"/>
                <w:sz w:val="24"/>
                <w:szCs w:val="24"/>
              </w:rPr>
              <w:t>?</w:t>
            </w:r>
            <w:r>
              <w:rPr>
                <w:rFonts w:cs="Arial"/>
                <w:sz w:val="24"/>
                <w:szCs w:val="24"/>
              </w:rPr>
              <w:t xml:space="preserve"> </w:t>
            </w:r>
          </w:p>
          <w:p w:rsidR="001A44C0" w:rsidRPr="00D57823" w:rsidRDefault="001A44C0" w:rsidP="00D33466">
            <w:pPr>
              <w:spacing w:after="0"/>
              <w:rPr>
                <w:rFonts w:cs="Arial"/>
                <w:sz w:val="24"/>
                <w:szCs w:val="24"/>
              </w:rPr>
            </w:pPr>
          </w:p>
        </w:tc>
      </w:tr>
      <w:tr w:rsidR="00D33466" w:rsidTr="00D33466">
        <w:trPr>
          <w:trHeight w:val="277"/>
        </w:trPr>
        <w:tc>
          <w:tcPr>
            <w:tcW w:w="9069" w:type="dxa"/>
            <w:gridSpan w:val="2"/>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rPr>
                <w:sz w:val="24"/>
                <w:szCs w:val="24"/>
              </w:rPr>
            </w:pPr>
            <w:r w:rsidRPr="00D57823">
              <w:rPr>
                <w:b/>
                <w:sz w:val="24"/>
                <w:szCs w:val="24"/>
              </w:rPr>
              <w:t>Authors</w:t>
            </w:r>
            <w:r w:rsidRPr="00D57823">
              <w:rPr>
                <w:sz w:val="24"/>
                <w:szCs w:val="24"/>
              </w:rPr>
              <w:t xml:space="preserve">: Dr Ozlem </w:t>
            </w:r>
            <w:proofErr w:type="spellStart"/>
            <w:r w:rsidRPr="00D57823">
              <w:rPr>
                <w:sz w:val="24"/>
                <w:szCs w:val="24"/>
              </w:rPr>
              <w:t>Boztepe</w:t>
            </w:r>
            <w:proofErr w:type="spellEnd"/>
            <w:r w:rsidRPr="00D57823">
              <w:rPr>
                <w:sz w:val="24"/>
                <w:szCs w:val="24"/>
              </w:rPr>
              <w:t>, Mr John Hayes, Ms Mehwash Nadeem</w:t>
            </w:r>
          </w:p>
          <w:p w:rsidR="001A44C0" w:rsidRPr="00D57823" w:rsidRDefault="001A44C0" w:rsidP="00D33466">
            <w:pPr>
              <w:spacing w:after="0" w:line="240" w:lineRule="auto"/>
              <w:rPr>
                <w:sz w:val="24"/>
                <w:szCs w:val="24"/>
              </w:rPr>
            </w:pPr>
          </w:p>
        </w:tc>
      </w:tr>
      <w:tr w:rsidR="00D33466" w:rsidTr="00D33466">
        <w:trPr>
          <w:trHeight w:val="2694"/>
        </w:trPr>
        <w:tc>
          <w:tcPr>
            <w:tcW w:w="9069"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Pr="00D57823" w:rsidRDefault="00D33466" w:rsidP="00D33466">
            <w:pPr>
              <w:spacing w:after="0" w:line="240" w:lineRule="auto"/>
              <w:rPr>
                <w:color w:val="000000"/>
                <w:sz w:val="24"/>
                <w:szCs w:val="24"/>
              </w:rPr>
            </w:pPr>
            <w:r w:rsidRPr="00D57823">
              <w:rPr>
                <w:b/>
                <w:sz w:val="24"/>
                <w:szCs w:val="24"/>
              </w:rPr>
              <w:t>Aims</w:t>
            </w:r>
            <w:r w:rsidRPr="00D57823">
              <w:rPr>
                <w:sz w:val="24"/>
                <w:szCs w:val="24"/>
              </w:rPr>
              <w:t xml:space="preserve">: </w:t>
            </w:r>
          </w:p>
          <w:p w:rsidR="00D33466" w:rsidRPr="00D57823" w:rsidRDefault="00D33466" w:rsidP="00D33466">
            <w:pPr>
              <w:spacing w:after="0" w:line="240" w:lineRule="auto"/>
              <w:rPr>
                <w:sz w:val="24"/>
                <w:szCs w:val="24"/>
              </w:rPr>
            </w:pPr>
            <w:proofErr w:type="spellStart"/>
            <w:r w:rsidRPr="00D57823">
              <w:rPr>
                <w:color w:val="000000"/>
                <w:sz w:val="24"/>
                <w:szCs w:val="24"/>
              </w:rPr>
              <w:t>Epididymo-orchitis</w:t>
            </w:r>
            <w:proofErr w:type="spellEnd"/>
            <w:r w:rsidRPr="00D57823">
              <w:rPr>
                <w:color w:val="000000"/>
                <w:sz w:val="24"/>
                <w:szCs w:val="24"/>
              </w:rPr>
              <w:t xml:space="preserve"> is inflammatory process and consists of pain and swelling of testis and/or epididymis and NICE outlines this as a clinical diagnosis. An ultrasound scan (USS) is suggested if there is diagnostic uncertainty, persistent unexplained symptoms, assessment is difficult, or there is trauma.</w:t>
            </w:r>
          </w:p>
          <w:p w:rsidR="00D33466" w:rsidRPr="00D57823" w:rsidRDefault="00D33466" w:rsidP="00D33466">
            <w:pPr>
              <w:pStyle w:val="NormalWeb"/>
              <w:spacing w:before="0" w:beforeAutospacing="0" w:after="0" w:afterAutospacing="0"/>
              <w:rPr>
                <w:rFonts w:asciiTheme="minorHAnsi" w:hAnsiTheme="minorHAnsi"/>
                <w:color w:val="000000"/>
              </w:rPr>
            </w:pPr>
            <w:r w:rsidRPr="00D57823">
              <w:rPr>
                <w:rFonts w:asciiTheme="minorHAnsi" w:hAnsiTheme="minorHAnsi"/>
                <w:color w:val="000000"/>
              </w:rPr>
              <w:t>The aims are:</w:t>
            </w:r>
          </w:p>
          <w:p w:rsidR="00D33466" w:rsidRPr="00D57823" w:rsidRDefault="00D33466" w:rsidP="00D33466">
            <w:pPr>
              <w:pStyle w:val="NormalWeb"/>
              <w:spacing w:before="0" w:beforeAutospacing="0" w:after="0" w:afterAutospacing="0"/>
              <w:rPr>
                <w:rFonts w:asciiTheme="minorHAnsi" w:hAnsiTheme="minorHAnsi"/>
                <w:color w:val="000000"/>
              </w:rPr>
            </w:pPr>
            <w:r w:rsidRPr="00D57823">
              <w:rPr>
                <w:rFonts w:asciiTheme="minorHAnsi" w:hAnsiTheme="minorHAnsi"/>
                <w:color w:val="000000"/>
              </w:rPr>
              <w:t xml:space="preserve">1) To assess the number of patients we carry out testicular USS on who have the diagnosis of </w:t>
            </w:r>
            <w:proofErr w:type="spellStart"/>
            <w:r w:rsidRPr="00D57823">
              <w:rPr>
                <w:rFonts w:asciiTheme="minorHAnsi" w:hAnsiTheme="minorHAnsi"/>
                <w:color w:val="000000"/>
              </w:rPr>
              <w:t>epididymo-orchitis</w:t>
            </w:r>
            <w:proofErr w:type="spellEnd"/>
            <w:r w:rsidRPr="00D57823">
              <w:rPr>
                <w:rFonts w:asciiTheme="minorHAnsi" w:hAnsiTheme="minorHAnsi"/>
                <w:color w:val="000000"/>
              </w:rPr>
              <w:t>.</w:t>
            </w:r>
          </w:p>
          <w:p w:rsidR="00D33466" w:rsidRDefault="00D33466" w:rsidP="00D33466">
            <w:pPr>
              <w:spacing w:after="0"/>
              <w:rPr>
                <w:color w:val="000000"/>
                <w:sz w:val="24"/>
                <w:szCs w:val="24"/>
              </w:rPr>
            </w:pPr>
            <w:r w:rsidRPr="00D57823">
              <w:rPr>
                <w:color w:val="000000"/>
                <w:sz w:val="24"/>
                <w:szCs w:val="24"/>
              </w:rPr>
              <w:t>2) To assess whether these testicular USS were appropriate</w:t>
            </w:r>
          </w:p>
          <w:p w:rsidR="001A44C0" w:rsidRPr="00D57823" w:rsidRDefault="001A44C0" w:rsidP="00D33466">
            <w:pPr>
              <w:spacing w:after="0"/>
              <w:rPr>
                <w:color w:val="000000"/>
                <w:sz w:val="24"/>
                <w:szCs w:val="24"/>
              </w:rPr>
            </w:pPr>
          </w:p>
        </w:tc>
      </w:tr>
      <w:tr w:rsidR="00D33466" w:rsidTr="00D33466">
        <w:trPr>
          <w:trHeight w:val="1748"/>
        </w:trPr>
        <w:tc>
          <w:tcPr>
            <w:tcW w:w="9069"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Pr="00D57823" w:rsidRDefault="00D33466" w:rsidP="00D33466">
            <w:pPr>
              <w:spacing w:after="0" w:line="240" w:lineRule="auto"/>
              <w:rPr>
                <w:sz w:val="24"/>
                <w:szCs w:val="24"/>
              </w:rPr>
            </w:pPr>
            <w:r w:rsidRPr="00D57823">
              <w:rPr>
                <w:b/>
                <w:sz w:val="24"/>
                <w:szCs w:val="24"/>
              </w:rPr>
              <w:t>Methods</w:t>
            </w:r>
            <w:r w:rsidRPr="00D57823">
              <w:rPr>
                <w:sz w:val="24"/>
                <w:szCs w:val="24"/>
              </w:rPr>
              <w:t xml:space="preserve">: </w:t>
            </w:r>
          </w:p>
          <w:p w:rsidR="00D33466" w:rsidRPr="00D57823" w:rsidRDefault="00D33466" w:rsidP="00D33466">
            <w:pPr>
              <w:spacing w:after="0" w:line="240" w:lineRule="auto"/>
              <w:rPr>
                <w:sz w:val="24"/>
                <w:szCs w:val="24"/>
              </w:rPr>
            </w:pPr>
            <w:r w:rsidRPr="00D57823">
              <w:rPr>
                <w:color w:val="000000"/>
                <w:sz w:val="24"/>
                <w:szCs w:val="24"/>
              </w:rPr>
              <w:t>A retrospective closed loop audit was carried out on male patients aged ≥18, who were coded as ‘epididymitis’, ‘</w:t>
            </w:r>
            <w:proofErr w:type="spellStart"/>
            <w:r w:rsidRPr="00D57823">
              <w:rPr>
                <w:color w:val="000000"/>
                <w:sz w:val="24"/>
                <w:szCs w:val="24"/>
              </w:rPr>
              <w:t>orchitis</w:t>
            </w:r>
            <w:proofErr w:type="spellEnd"/>
            <w:r w:rsidRPr="00D57823">
              <w:rPr>
                <w:color w:val="000000"/>
                <w:sz w:val="24"/>
                <w:szCs w:val="24"/>
              </w:rPr>
              <w:t>’ and ‘</w:t>
            </w:r>
            <w:proofErr w:type="spellStart"/>
            <w:r w:rsidRPr="00D57823">
              <w:rPr>
                <w:color w:val="000000"/>
                <w:sz w:val="24"/>
                <w:szCs w:val="24"/>
              </w:rPr>
              <w:t>epididymo-orchitis</w:t>
            </w:r>
            <w:proofErr w:type="spellEnd"/>
            <w:r w:rsidRPr="00D57823">
              <w:rPr>
                <w:color w:val="000000"/>
                <w:sz w:val="24"/>
                <w:szCs w:val="24"/>
              </w:rPr>
              <w:t>’. Each cycle covered a three-month period, results were provided to the Urology team after first cycle and re-audited.</w:t>
            </w:r>
          </w:p>
          <w:p w:rsidR="00D33466" w:rsidRPr="00D57823" w:rsidRDefault="00D33466" w:rsidP="00D33466">
            <w:pPr>
              <w:pStyle w:val="NormalWeb"/>
              <w:spacing w:before="0" w:beforeAutospacing="0" w:after="0" w:afterAutospacing="0"/>
              <w:rPr>
                <w:rFonts w:asciiTheme="minorHAnsi" w:hAnsiTheme="minorHAnsi"/>
                <w:color w:val="000000"/>
              </w:rPr>
            </w:pPr>
            <w:r w:rsidRPr="00D57823">
              <w:rPr>
                <w:rFonts w:asciiTheme="minorHAnsi" w:hAnsiTheme="minorHAnsi"/>
                <w:color w:val="000000"/>
              </w:rPr>
              <w:t>· Cycle 1: May – Aug 2023</w:t>
            </w:r>
          </w:p>
          <w:p w:rsidR="00D33466" w:rsidRDefault="00D33466" w:rsidP="00D33466">
            <w:pPr>
              <w:pStyle w:val="NormalWeb"/>
              <w:spacing w:before="0" w:beforeAutospacing="0" w:after="0" w:afterAutospacing="0"/>
              <w:rPr>
                <w:rFonts w:asciiTheme="minorHAnsi" w:hAnsiTheme="minorHAnsi"/>
                <w:color w:val="000000"/>
              </w:rPr>
            </w:pPr>
            <w:r w:rsidRPr="00D57823">
              <w:rPr>
                <w:rFonts w:asciiTheme="minorHAnsi" w:hAnsiTheme="minorHAnsi"/>
                <w:color w:val="000000"/>
              </w:rPr>
              <w:t>· Cycle 2: Dec 2023 – March 2024</w:t>
            </w:r>
          </w:p>
          <w:p w:rsidR="001A44C0" w:rsidRPr="00D57823" w:rsidRDefault="001A44C0" w:rsidP="00D33466">
            <w:pPr>
              <w:pStyle w:val="NormalWeb"/>
              <w:spacing w:before="0" w:beforeAutospacing="0" w:after="0" w:afterAutospacing="0"/>
              <w:rPr>
                <w:rFonts w:asciiTheme="minorHAnsi" w:hAnsiTheme="minorHAnsi"/>
                <w:color w:val="000000"/>
              </w:rPr>
            </w:pPr>
          </w:p>
        </w:tc>
      </w:tr>
      <w:tr w:rsidR="00D33466" w:rsidTr="00D33466">
        <w:trPr>
          <w:trHeight w:val="1748"/>
        </w:trPr>
        <w:tc>
          <w:tcPr>
            <w:tcW w:w="9069"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Pr="00D57823" w:rsidRDefault="00D33466" w:rsidP="00D33466">
            <w:pPr>
              <w:spacing w:after="0" w:line="240" w:lineRule="auto"/>
              <w:rPr>
                <w:sz w:val="24"/>
                <w:szCs w:val="24"/>
              </w:rPr>
            </w:pPr>
            <w:r w:rsidRPr="00D57823">
              <w:rPr>
                <w:b/>
                <w:sz w:val="24"/>
                <w:szCs w:val="24"/>
              </w:rPr>
              <w:t>Results</w:t>
            </w:r>
            <w:r w:rsidRPr="00D57823">
              <w:rPr>
                <w:sz w:val="24"/>
                <w:szCs w:val="24"/>
              </w:rPr>
              <w:t xml:space="preserve">: </w:t>
            </w:r>
          </w:p>
          <w:p w:rsidR="00D33466" w:rsidRDefault="00D33466" w:rsidP="00D33466">
            <w:pPr>
              <w:spacing w:after="0" w:line="240" w:lineRule="auto"/>
              <w:rPr>
                <w:sz w:val="24"/>
                <w:szCs w:val="24"/>
              </w:rPr>
            </w:pPr>
            <w:r w:rsidRPr="00D57823">
              <w:rPr>
                <w:sz w:val="24"/>
                <w:szCs w:val="24"/>
              </w:rPr>
              <w:t xml:space="preserve">Cycle 1 included 48 patients, Cycle 2, 42 and the number of testicular USS reduced from 47/48 to 29/42 by Cycle 2, a 29% reduction. In Cycle 1, 29 (60%) patients were treated as </w:t>
            </w:r>
            <w:proofErr w:type="spellStart"/>
            <w:r w:rsidRPr="00D57823">
              <w:rPr>
                <w:sz w:val="24"/>
                <w:szCs w:val="24"/>
              </w:rPr>
              <w:t>epididymo-orchitis</w:t>
            </w:r>
            <w:proofErr w:type="spellEnd"/>
            <w:r w:rsidRPr="00D57823">
              <w:rPr>
                <w:sz w:val="24"/>
                <w:szCs w:val="24"/>
              </w:rPr>
              <w:t xml:space="preserve"> whereas in Cycle 2, 39 (93%) patients, with approximately half of them having had an USS. Of the patients who had USS, only 51% in Cycle 1 and 45% in Cycle 2, were appropriate. </w:t>
            </w:r>
          </w:p>
          <w:p w:rsidR="001A44C0" w:rsidRPr="00D57823" w:rsidRDefault="001A44C0" w:rsidP="00D33466">
            <w:pPr>
              <w:spacing w:after="0" w:line="240" w:lineRule="auto"/>
              <w:rPr>
                <w:sz w:val="24"/>
                <w:szCs w:val="24"/>
              </w:rPr>
            </w:pPr>
          </w:p>
        </w:tc>
      </w:tr>
      <w:tr w:rsidR="00D33466" w:rsidTr="00D33466">
        <w:trPr>
          <w:trHeight w:val="1466"/>
        </w:trPr>
        <w:tc>
          <w:tcPr>
            <w:tcW w:w="9069"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Pr="00D57823" w:rsidRDefault="00D33466" w:rsidP="00D33466">
            <w:pPr>
              <w:spacing w:after="0" w:line="240" w:lineRule="auto"/>
              <w:rPr>
                <w:sz w:val="24"/>
                <w:szCs w:val="24"/>
              </w:rPr>
            </w:pPr>
            <w:r w:rsidRPr="00D57823">
              <w:rPr>
                <w:b/>
                <w:sz w:val="24"/>
                <w:szCs w:val="24"/>
              </w:rPr>
              <w:t>Conclusion</w:t>
            </w:r>
            <w:r w:rsidRPr="00D57823">
              <w:rPr>
                <w:sz w:val="24"/>
                <w:szCs w:val="24"/>
              </w:rPr>
              <w:t xml:space="preserve">: </w:t>
            </w:r>
          </w:p>
          <w:p w:rsidR="00D33466" w:rsidRDefault="00D33466" w:rsidP="00D33466">
            <w:pPr>
              <w:spacing w:after="0" w:line="240" w:lineRule="auto"/>
              <w:rPr>
                <w:sz w:val="24"/>
                <w:szCs w:val="24"/>
              </w:rPr>
            </w:pPr>
            <w:r w:rsidRPr="00D57823">
              <w:rPr>
                <w:sz w:val="24"/>
                <w:szCs w:val="24"/>
              </w:rPr>
              <w:t xml:space="preserve">We are successfully diagnosing </w:t>
            </w:r>
            <w:proofErr w:type="spellStart"/>
            <w:r w:rsidRPr="00D57823">
              <w:rPr>
                <w:sz w:val="24"/>
                <w:szCs w:val="24"/>
              </w:rPr>
              <w:t>epididymo-orchitis</w:t>
            </w:r>
            <w:proofErr w:type="spellEnd"/>
            <w:r w:rsidRPr="00D57823">
              <w:rPr>
                <w:sz w:val="24"/>
                <w:szCs w:val="24"/>
              </w:rPr>
              <w:t xml:space="preserve">, but unnecessarily scanning 49 – 55% of patients at a cost of £49 per USS. This is an inefficient use of funds, time and resources for patients and staff and hopefully this closed loop audit will foster better practices in the future.  </w:t>
            </w:r>
          </w:p>
          <w:p w:rsidR="001A44C0" w:rsidRPr="00D57823" w:rsidRDefault="001A44C0" w:rsidP="00D33466">
            <w:pPr>
              <w:spacing w:after="0" w:line="240" w:lineRule="auto"/>
              <w:rPr>
                <w:b/>
                <w:sz w:val="24"/>
                <w:szCs w:val="24"/>
              </w:rPr>
            </w:pPr>
          </w:p>
        </w:tc>
      </w:tr>
    </w:tbl>
    <w:p w:rsidR="00D33466" w:rsidRDefault="00D33466" w:rsidP="00D33466"/>
    <w:p w:rsidR="00D33466" w:rsidRDefault="00D33466" w:rsidP="00D33466"/>
    <w:p w:rsidR="00D33466" w:rsidRDefault="00D33466" w:rsidP="00D33466"/>
    <w:p w:rsidR="00D33466" w:rsidRDefault="00D33466" w:rsidP="00D334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8"/>
        <w:gridCol w:w="3528"/>
      </w:tblGrid>
      <w:tr w:rsidR="00D33466" w:rsidTr="001A44C0">
        <w:tc>
          <w:tcPr>
            <w:tcW w:w="5488" w:type="dxa"/>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pPr>
            <w:r>
              <w:rPr>
                <w:b/>
              </w:rPr>
              <w:t>Name of Presenter</w:t>
            </w:r>
            <w:r>
              <w:t>:</w:t>
            </w:r>
          </w:p>
          <w:p w:rsidR="00D33466" w:rsidRDefault="00D33466" w:rsidP="00D33466">
            <w:pPr>
              <w:spacing w:after="0" w:line="240" w:lineRule="auto"/>
            </w:pPr>
            <w:r>
              <w:t xml:space="preserve">Ahmed </w:t>
            </w:r>
            <w:proofErr w:type="spellStart"/>
            <w:r>
              <w:t>Ghonaimy</w:t>
            </w:r>
            <w:proofErr w:type="spellEnd"/>
          </w:p>
          <w:p w:rsidR="001A44C0" w:rsidRDefault="001A44C0" w:rsidP="00D33466">
            <w:pPr>
              <w:spacing w:after="0" w:line="240" w:lineRule="auto"/>
              <w:rPr>
                <w:rFonts w:cs="Times New Roman"/>
              </w:rPr>
            </w:pPr>
          </w:p>
        </w:tc>
        <w:tc>
          <w:tcPr>
            <w:tcW w:w="3528" w:type="dxa"/>
            <w:tcBorders>
              <w:top w:val="single" w:sz="4" w:space="0" w:color="auto"/>
              <w:left w:val="single" w:sz="4" w:space="0" w:color="auto"/>
              <w:bottom w:val="single" w:sz="4" w:space="0" w:color="auto"/>
              <w:right w:val="single" w:sz="4" w:space="0" w:color="auto"/>
            </w:tcBorders>
            <w:hideMark/>
          </w:tcPr>
          <w:p w:rsidR="00D33466" w:rsidRDefault="00D33466" w:rsidP="00D33466">
            <w:pPr>
              <w:spacing w:after="0" w:line="240" w:lineRule="auto"/>
            </w:pPr>
            <w:r>
              <w:rPr>
                <w:b/>
              </w:rPr>
              <w:t>Training grade/post</w:t>
            </w:r>
            <w:r>
              <w:t>:</w:t>
            </w:r>
          </w:p>
          <w:p w:rsidR="00D33466" w:rsidRDefault="00D33466" w:rsidP="00D33466">
            <w:pPr>
              <w:spacing w:after="0" w:line="240" w:lineRule="auto"/>
              <w:rPr>
                <w:rFonts w:cs="Times New Roman"/>
              </w:rPr>
            </w:pPr>
            <w:r>
              <w:t>Functional Urology Fellow</w:t>
            </w:r>
          </w:p>
        </w:tc>
      </w:tr>
      <w:tr w:rsidR="00D33466" w:rsidTr="001A44C0">
        <w:tc>
          <w:tcPr>
            <w:tcW w:w="9016" w:type="dxa"/>
            <w:gridSpan w:val="2"/>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pPr>
            <w:r>
              <w:rPr>
                <w:b/>
              </w:rPr>
              <w:t>Institution</w:t>
            </w:r>
            <w:r>
              <w:t>:</w:t>
            </w:r>
          </w:p>
          <w:p w:rsidR="00D33466" w:rsidRDefault="00D33466" w:rsidP="00D33466">
            <w:pPr>
              <w:spacing w:after="0" w:line="240" w:lineRule="auto"/>
              <w:rPr>
                <w:rFonts w:cs="Times New Roman"/>
              </w:rPr>
            </w:pPr>
            <w:r>
              <w:rPr>
                <w:rFonts w:cs="Times New Roman"/>
              </w:rPr>
              <w:t>James Cook University Hospital, South Tees Hospitals NHS Foundation Trust</w:t>
            </w:r>
          </w:p>
          <w:p w:rsidR="001A44C0" w:rsidRDefault="001A44C0" w:rsidP="00D33466">
            <w:pPr>
              <w:spacing w:after="0" w:line="240" w:lineRule="auto"/>
              <w:rPr>
                <w:rFonts w:cs="Times New Roman"/>
              </w:rPr>
            </w:pPr>
          </w:p>
        </w:tc>
      </w:tr>
      <w:tr w:rsidR="00D33466" w:rsidTr="001A44C0">
        <w:tc>
          <w:tcPr>
            <w:tcW w:w="9016" w:type="dxa"/>
            <w:gridSpan w:val="2"/>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pPr>
            <w:r>
              <w:rPr>
                <w:b/>
              </w:rPr>
              <w:t>Title of Presentation</w:t>
            </w:r>
            <w:r>
              <w:t>:</w:t>
            </w:r>
          </w:p>
          <w:p w:rsidR="00D33466" w:rsidRDefault="00D33466" w:rsidP="00D33466">
            <w:pPr>
              <w:spacing w:after="0" w:line="240" w:lineRule="auto"/>
              <w:rPr>
                <w:rFonts w:cs="Times New Roman"/>
              </w:rPr>
            </w:pPr>
            <w:r w:rsidRPr="008E6632">
              <w:rPr>
                <w:b/>
                <w:bCs/>
                <w:i/>
                <w:iCs/>
              </w:rPr>
              <w:t>Is it the new Gold Standard to manage Refractory Urinary Tract infections? –</w:t>
            </w:r>
            <w:r>
              <w:rPr>
                <w:b/>
                <w:bCs/>
                <w:i/>
                <w:iCs/>
              </w:rPr>
              <w:t xml:space="preserve"> </w:t>
            </w:r>
            <w:r w:rsidRPr="008E6632">
              <w:rPr>
                <w:b/>
                <w:bCs/>
                <w:i/>
                <w:iCs/>
              </w:rPr>
              <w:t>Experience from a dedicated complex UTI clinic</w:t>
            </w:r>
            <w:r>
              <w:rPr>
                <w:rFonts w:cs="Times New Roman"/>
              </w:rPr>
              <w:t xml:space="preserve"> </w:t>
            </w:r>
          </w:p>
          <w:p w:rsidR="001A44C0" w:rsidRPr="008E6632" w:rsidRDefault="001A44C0" w:rsidP="00D33466">
            <w:pPr>
              <w:spacing w:after="0" w:line="240" w:lineRule="auto"/>
              <w:rPr>
                <w:b/>
                <w:bCs/>
                <w:i/>
                <w:iCs/>
              </w:rPr>
            </w:pPr>
          </w:p>
        </w:tc>
      </w:tr>
      <w:tr w:rsidR="00D33466" w:rsidTr="001A44C0">
        <w:tc>
          <w:tcPr>
            <w:tcW w:w="9016" w:type="dxa"/>
            <w:gridSpan w:val="2"/>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pPr>
            <w:r>
              <w:rPr>
                <w:b/>
              </w:rPr>
              <w:t>Authors</w:t>
            </w:r>
            <w:r>
              <w:t>:</w:t>
            </w:r>
          </w:p>
          <w:p w:rsidR="00D33466" w:rsidRDefault="00D33466" w:rsidP="00D33466">
            <w:pPr>
              <w:spacing w:after="0" w:line="240" w:lineRule="auto"/>
            </w:pPr>
            <w:r>
              <w:t xml:space="preserve">Pragnitha </w:t>
            </w:r>
            <w:proofErr w:type="spellStart"/>
            <w:r>
              <w:t>Chitteti</w:t>
            </w:r>
            <w:proofErr w:type="spellEnd"/>
            <w:r>
              <w:t xml:space="preserve">, Ahmed </w:t>
            </w:r>
            <w:proofErr w:type="spellStart"/>
            <w:r>
              <w:t>Ghonaimy</w:t>
            </w:r>
            <w:proofErr w:type="spellEnd"/>
            <w:r>
              <w:t xml:space="preserve">, </w:t>
            </w:r>
            <w:proofErr w:type="spellStart"/>
            <w:r>
              <w:t>Inyang</w:t>
            </w:r>
            <w:proofErr w:type="spellEnd"/>
            <w:r>
              <w:t xml:space="preserve"> Ekpeno, Jayne </w:t>
            </w:r>
            <w:proofErr w:type="spellStart"/>
            <w:r>
              <w:t>Morris-Laverick</w:t>
            </w:r>
            <w:proofErr w:type="spellEnd"/>
            <w:r>
              <w:t xml:space="preserve">, Stephanie </w:t>
            </w:r>
            <w:proofErr w:type="spellStart"/>
            <w:r>
              <w:t>Bezemer</w:t>
            </w:r>
            <w:proofErr w:type="spellEnd"/>
            <w:r>
              <w:t>, Mehwash Nadeem</w:t>
            </w:r>
          </w:p>
          <w:p w:rsidR="001A44C0" w:rsidRPr="00814E27" w:rsidRDefault="001A44C0" w:rsidP="00D33466">
            <w:pPr>
              <w:spacing w:after="0" w:line="240" w:lineRule="auto"/>
            </w:pPr>
          </w:p>
        </w:tc>
      </w:tr>
      <w:tr w:rsidR="00D33466" w:rsidTr="001A44C0">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spacing w:after="0" w:line="240" w:lineRule="auto"/>
            </w:pPr>
            <w:r>
              <w:rPr>
                <w:b/>
              </w:rPr>
              <w:t>Aims</w:t>
            </w:r>
            <w:r>
              <w:t>: Recurrent Urinary tract infections (</w:t>
            </w:r>
            <w:proofErr w:type="spellStart"/>
            <w:r>
              <w:t>rUTIs</w:t>
            </w:r>
            <w:proofErr w:type="spellEnd"/>
            <w:r>
              <w:t>) are challenging to manage, and their persistence and relapse after treatment warrant a different management approach. Our aim was to assess the efficacy of intravesical Gentamicin in this difficult-to-treat cohort.</w:t>
            </w:r>
          </w:p>
          <w:p w:rsidR="001A44C0" w:rsidRDefault="001A44C0" w:rsidP="00D33466">
            <w:pPr>
              <w:spacing w:after="0" w:line="240" w:lineRule="auto"/>
            </w:pPr>
          </w:p>
          <w:p w:rsidR="001A44C0" w:rsidRPr="00F80A72" w:rsidRDefault="001A44C0" w:rsidP="00D33466">
            <w:pPr>
              <w:spacing w:after="0" w:line="240" w:lineRule="auto"/>
            </w:pPr>
          </w:p>
        </w:tc>
      </w:tr>
      <w:tr w:rsidR="00D33466" w:rsidTr="001A44C0">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spacing w:after="0" w:line="240" w:lineRule="auto"/>
            </w:pPr>
            <w:r>
              <w:rPr>
                <w:b/>
              </w:rPr>
              <w:t>Methods</w:t>
            </w:r>
            <w:r>
              <w:t>: A prospective-cohort study was conducted between May 2021-May 2023 including the patients from our complex UTI clinic, who subsequently received Intravesical Gentamicin (locally devised protocol, Figure-1) as a tertiary treatment after MDT discussion. Patients’ demographics, comorbidities, urine culture- sensitivities, and treatment outcomes (reduction in UTI frequency &amp; urosepsis, Symptomatic and Quality of Life Improvement) were recorded. Outcomes were assessed at a minimum follow-up period of 6 months after treatment completion.</w:t>
            </w:r>
          </w:p>
          <w:p w:rsidR="001A44C0" w:rsidRDefault="001A44C0" w:rsidP="00D33466">
            <w:pPr>
              <w:spacing w:after="0" w:line="240" w:lineRule="auto"/>
            </w:pPr>
          </w:p>
          <w:p w:rsidR="001A44C0" w:rsidRPr="00F80A72" w:rsidRDefault="001A44C0" w:rsidP="00D33466">
            <w:pPr>
              <w:spacing w:after="0" w:line="240" w:lineRule="auto"/>
            </w:pPr>
          </w:p>
        </w:tc>
      </w:tr>
      <w:tr w:rsidR="00D33466" w:rsidTr="001A44C0">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spacing w:after="0" w:line="240" w:lineRule="auto"/>
            </w:pPr>
            <w:r>
              <w:rPr>
                <w:b/>
              </w:rPr>
              <w:t>Results</w:t>
            </w:r>
            <w:r>
              <w:t>: 46 patients were included [(Male: 10, Female:36, Mean age: 55+/-17.19)]. 44 (96%)</w:t>
            </w:r>
          </w:p>
          <w:p w:rsidR="00D33466" w:rsidRDefault="00D33466" w:rsidP="00D33466">
            <w:pPr>
              <w:spacing w:after="0" w:line="240" w:lineRule="auto"/>
            </w:pPr>
            <w:r>
              <w:t>patients had significant comorbidities including 33% who were immunocompromised</w:t>
            </w:r>
          </w:p>
          <w:p w:rsidR="00D33466" w:rsidRDefault="00D33466" w:rsidP="00D33466">
            <w:pPr>
              <w:spacing w:after="0" w:line="240" w:lineRule="auto"/>
            </w:pPr>
            <w:r>
              <w:t>and 48% with underlying neuropathy. 21 (46%) patients had E. coli isolated from urine cultures, 46% had multidrug resistance pattern with UTI frequency of &gt;6 episodes/ year in over 74% patients. Post treatment, hospital admission rates due to urosepsis reduced from 41% to 4 % (p-value&lt;0.001) and multidrug resistance on the urine cultures reduced from 46% to 11% (p-value= 0.01).</w:t>
            </w:r>
          </w:p>
          <w:p w:rsidR="00D33466" w:rsidRDefault="00D33466" w:rsidP="00D33466">
            <w:pPr>
              <w:spacing w:after="0" w:line="240" w:lineRule="auto"/>
            </w:pPr>
            <w:r>
              <w:t>80.4% (n=37) patients showed significant reduction in the frequency of UTIs with 72%</w:t>
            </w:r>
          </w:p>
          <w:p w:rsidR="00D33466" w:rsidRDefault="00D33466" w:rsidP="00D33466">
            <w:pPr>
              <w:spacing w:after="0" w:line="240" w:lineRule="auto"/>
            </w:pPr>
            <w:r>
              <w:t>patients reporting good to excellent PGI-I (Patient Global Impression of Improvement) score</w:t>
            </w:r>
          </w:p>
          <w:p w:rsidR="00D33466" w:rsidRDefault="00D33466" w:rsidP="00D33466">
            <w:pPr>
              <w:spacing w:after="0" w:line="240" w:lineRule="auto"/>
            </w:pPr>
            <w:r>
              <w:t>and 76%, significant improvement in quality of life (p-value&lt;0.001). Serum gentamicin levels were undetectable in all patients at one week after initiation of treatment.</w:t>
            </w:r>
          </w:p>
          <w:p w:rsidR="001A44C0" w:rsidRPr="00F80A72" w:rsidRDefault="001A44C0" w:rsidP="00D33466">
            <w:pPr>
              <w:spacing w:after="0" w:line="240" w:lineRule="auto"/>
            </w:pPr>
          </w:p>
        </w:tc>
      </w:tr>
      <w:tr w:rsidR="00D33466" w:rsidTr="001A44C0">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spacing w:after="0" w:line="240" w:lineRule="auto"/>
            </w:pPr>
            <w:r>
              <w:rPr>
                <w:b/>
              </w:rPr>
              <w:t>Conclusion</w:t>
            </w:r>
            <w:r>
              <w:t>: Intravesical Gentamicin is safe and effective in treating refractory and recurrent UTIs.</w:t>
            </w:r>
          </w:p>
          <w:p w:rsidR="001A44C0" w:rsidRDefault="001A44C0" w:rsidP="00D33466">
            <w:pPr>
              <w:spacing w:after="0" w:line="240" w:lineRule="auto"/>
            </w:pPr>
          </w:p>
          <w:p w:rsidR="001A44C0" w:rsidRPr="00F80A72" w:rsidRDefault="001A44C0" w:rsidP="00D33466">
            <w:pPr>
              <w:spacing w:after="0" w:line="240" w:lineRule="auto"/>
            </w:pPr>
          </w:p>
        </w:tc>
      </w:tr>
    </w:tbl>
    <w:p w:rsidR="00D33466" w:rsidRDefault="00D33466" w:rsidP="00D33466"/>
    <w:p w:rsidR="00D33466" w:rsidRDefault="00D33466" w:rsidP="00D33466"/>
    <w:p w:rsidR="00D33466" w:rsidRDefault="00EC2E3B" w:rsidP="00D33466">
      <w:r>
        <w:rPr>
          <w:noProof/>
          <w:lang w:eastAsia="en-GB"/>
        </w:rPr>
        <w:drawing>
          <wp:inline distT="0" distB="0" distL="0" distR="0" wp14:anchorId="0F64C661" wp14:editId="6D6475BE">
            <wp:extent cx="5731510" cy="4084320"/>
            <wp:effectExtent l="0" t="0" r="0" b="5080"/>
            <wp:docPr id="4" name="Picture 4" descr="A diagram of a medical proced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iagram of a medical procedur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4084320"/>
                    </a:xfrm>
                    <a:prstGeom prst="rect">
                      <a:avLst/>
                    </a:prstGeom>
                  </pic:spPr>
                </pic:pic>
              </a:graphicData>
            </a:graphic>
          </wp:inline>
        </w:drawing>
      </w:r>
    </w:p>
    <w:p w:rsidR="00D33466" w:rsidRDefault="00D33466" w:rsidP="00D33466"/>
    <w:p w:rsidR="00D33466" w:rsidRDefault="00D33466" w:rsidP="00D33466"/>
    <w:p w:rsidR="00EC2E3B" w:rsidRDefault="00EC2E3B" w:rsidP="00D33466">
      <w:pPr>
        <w:pStyle w:val="Body"/>
        <w:spacing w:after="0" w:line="240" w:lineRule="auto"/>
        <w:jc w:val="both"/>
        <w:rPr>
          <w:b/>
          <w:bCs/>
          <w:lang w:val="en-US"/>
        </w:rPr>
      </w:pPr>
    </w:p>
    <w:p w:rsidR="00EC2E3B" w:rsidRDefault="00EC2E3B" w:rsidP="00D33466">
      <w:pPr>
        <w:pStyle w:val="Body"/>
        <w:spacing w:after="0" w:line="240" w:lineRule="auto"/>
        <w:jc w:val="both"/>
        <w:rPr>
          <w:b/>
          <w:bCs/>
          <w:lang w:val="en-US"/>
        </w:rPr>
      </w:pPr>
    </w:p>
    <w:p w:rsidR="00EC2E3B" w:rsidRDefault="00EC2E3B" w:rsidP="00D33466">
      <w:pPr>
        <w:pStyle w:val="Body"/>
        <w:spacing w:after="0" w:line="240" w:lineRule="auto"/>
        <w:jc w:val="both"/>
        <w:rPr>
          <w:b/>
          <w:bCs/>
          <w:lang w:val="en-US"/>
        </w:rPr>
      </w:pPr>
    </w:p>
    <w:p w:rsidR="00EC2E3B" w:rsidRDefault="00EC2E3B" w:rsidP="00D33466">
      <w:pPr>
        <w:pStyle w:val="Body"/>
        <w:spacing w:after="0" w:line="240" w:lineRule="auto"/>
        <w:jc w:val="both"/>
        <w:rPr>
          <w:b/>
          <w:bCs/>
          <w:lang w:val="en-US"/>
        </w:rPr>
      </w:pPr>
    </w:p>
    <w:p w:rsidR="00EC2E3B" w:rsidRDefault="00EC2E3B" w:rsidP="00D33466">
      <w:pPr>
        <w:pStyle w:val="Body"/>
        <w:spacing w:after="0" w:line="240" w:lineRule="auto"/>
        <w:jc w:val="both"/>
        <w:rPr>
          <w:b/>
          <w:bCs/>
          <w:lang w:val="en-US"/>
        </w:rPr>
      </w:pPr>
    </w:p>
    <w:p w:rsidR="00EC2E3B" w:rsidRDefault="00EC2E3B" w:rsidP="00D33466">
      <w:pPr>
        <w:pStyle w:val="Body"/>
        <w:spacing w:after="0" w:line="240" w:lineRule="auto"/>
        <w:jc w:val="both"/>
        <w:rPr>
          <w:b/>
          <w:bCs/>
          <w:lang w:val="en-US"/>
        </w:rPr>
      </w:pPr>
    </w:p>
    <w:p w:rsidR="00EC2E3B" w:rsidRDefault="00EC2E3B" w:rsidP="00D33466">
      <w:pPr>
        <w:pStyle w:val="Body"/>
        <w:spacing w:after="0" w:line="240" w:lineRule="auto"/>
        <w:jc w:val="both"/>
        <w:rPr>
          <w:b/>
          <w:bCs/>
          <w:lang w:val="en-US"/>
        </w:rPr>
      </w:pPr>
    </w:p>
    <w:p w:rsidR="00EC2E3B" w:rsidRDefault="00EC2E3B" w:rsidP="00D33466">
      <w:pPr>
        <w:pStyle w:val="Body"/>
        <w:spacing w:after="0" w:line="240" w:lineRule="auto"/>
        <w:jc w:val="both"/>
        <w:rPr>
          <w:b/>
          <w:bCs/>
          <w:lang w:val="en-US"/>
        </w:rPr>
      </w:pPr>
    </w:p>
    <w:p w:rsidR="00EC2E3B" w:rsidRDefault="00EC2E3B" w:rsidP="00D33466">
      <w:pPr>
        <w:pStyle w:val="Body"/>
        <w:spacing w:after="0" w:line="240" w:lineRule="auto"/>
        <w:jc w:val="both"/>
        <w:rPr>
          <w:b/>
          <w:bCs/>
          <w:lang w:val="en-US"/>
        </w:rPr>
      </w:pPr>
    </w:p>
    <w:p w:rsidR="00EC2E3B" w:rsidRDefault="00EC2E3B" w:rsidP="00D33466">
      <w:pPr>
        <w:pStyle w:val="Body"/>
        <w:spacing w:after="0" w:line="240" w:lineRule="auto"/>
        <w:jc w:val="both"/>
        <w:rPr>
          <w:b/>
          <w:bCs/>
          <w:lang w:val="en-US"/>
        </w:rPr>
      </w:pPr>
    </w:p>
    <w:p w:rsidR="00EC2E3B" w:rsidRDefault="00EC2E3B" w:rsidP="00D33466">
      <w:pPr>
        <w:pStyle w:val="Body"/>
        <w:spacing w:after="0" w:line="240" w:lineRule="auto"/>
        <w:jc w:val="both"/>
        <w:rPr>
          <w:b/>
          <w:bCs/>
          <w:lang w:val="en-US"/>
        </w:rPr>
      </w:pPr>
    </w:p>
    <w:p w:rsidR="00EC2E3B" w:rsidRDefault="00EC2E3B" w:rsidP="00D33466">
      <w:pPr>
        <w:pStyle w:val="Body"/>
        <w:spacing w:after="0" w:line="240" w:lineRule="auto"/>
        <w:jc w:val="both"/>
        <w:rPr>
          <w:b/>
          <w:bCs/>
          <w:lang w:val="en-US"/>
        </w:rPr>
      </w:pPr>
    </w:p>
    <w:p w:rsidR="00EC2E3B" w:rsidRDefault="00EC2E3B" w:rsidP="00D33466">
      <w:pPr>
        <w:pStyle w:val="Body"/>
        <w:spacing w:after="0" w:line="240" w:lineRule="auto"/>
        <w:jc w:val="both"/>
        <w:rPr>
          <w:b/>
          <w:bCs/>
          <w:lang w:val="en-US"/>
        </w:rPr>
      </w:pPr>
    </w:p>
    <w:p w:rsidR="00EC2E3B" w:rsidRDefault="00EC2E3B" w:rsidP="00D33466">
      <w:pPr>
        <w:pStyle w:val="Body"/>
        <w:spacing w:after="0" w:line="240" w:lineRule="auto"/>
        <w:jc w:val="both"/>
        <w:rPr>
          <w:b/>
          <w:bCs/>
          <w:lang w:val="en-US"/>
        </w:rPr>
      </w:pPr>
    </w:p>
    <w:p w:rsidR="00EC2E3B" w:rsidRDefault="00EC2E3B" w:rsidP="00D33466">
      <w:pPr>
        <w:pStyle w:val="Body"/>
        <w:spacing w:after="0" w:line="240" w:lineRule="auto"/>
        <w:jc w:val="both"/>
        <w:rPr>
          <w:b/>
          <w:bCs/>
          <w:lang w:val="en-US"/>
        </w:rPr>
      </w:pPr>
    </w:p>
    <w:p w:rsidR="00EC2E3B" w:rsidRDefault="00EC2E3B" w:rsidP="00D33466">
      <w:pPr>
        <w:pStyle w:val="Body"/>
        <w:spacing w:after="0" w:line="240" w:lineRule="auto"/>
        <w:jc w:val="both"/>
        <w:rPr>
          <w:b/>
          <w:bCs/>
          <w:lang w:val="en-US"/>
        </w:rPr>
      </w:pPr>
    </w:p>
    <w:p w:rsidR="00EC2E3B" w:rsidRDefault="00EC2E3B" w:rsidP="00D33466">
      <w:pPr>
        <w:pStyle w:val="Body"/>
        <w:spacing w:after="0" w:line="240" w:lineRule="auto"/>
        <w:jc w:val="both"/>
        <w:rPr>
          <w:b/>
          <w:bCs/>
          <w:lang w:val="en-US"/>
        </w:rPr>
      </w:pPr>
    </w:p>
    <w:p w:rsidR="00EC2E3B" w:rsidRDefault="00EC2E3B" w:rsidP="00D33466">
      <w:pPr>
        <w:pStyle w:val="Body"/>
        <w:spacing w:after="0" w:line="240" w:lineRule="auto"/>
        <w:jc w:val="both"/>
        <w:rPr>
          <w:b/>
          <w:bCs/>
          <w:lang w:val="en-US"/>
        </w:rPr>
      </w:pPr>
    </w:p>
    <w:p w:rsidR="00EC2E3B" w:rsidRDefault="00EC2E3B" w:rsidP="00D33466">
      <w:pPr>
        <w:pStyle w:val="Body"/>
        <w:spacing w:after="0" w:line="240" w:lineRule="auto"/>
        <w:jc w:val="both"/>
        <w:rPr>
          <w:b/>
          <w:bCs/>
          <w:lang w:val="en-US"/>
        </w:rPr>
      </w:pPr>
    </w:p>
    <w:p w:rsidR="00EC2E3B" w:rsidRDefault="00EC2E3B" w:rsidP="00D33466">
      <w:pPr>
        <w:pStyle w:val="Body"/>
        <w:spacing w:after="0" w:line="240" w:lineRule="auto"/>
        <w:jc w:val="both"/>
        <w:rPr>
          <w:b/>
          <w:bCs/>
          <w:lang w:val="en-US"/>
        </w:rPr>
      </w:pPr>
    </w:p>
    <w:p w:rsidR="00EC2E3B" w:rsidRDefault="00EC2E3B" w:rsidP="00D33466">
      <w:pPr>
        <w:pStyle w:val="Body"/>
        <w:spacing w:after="0" w:line="240" w:lineRule="auto"/>
        <w:jc w:val="both"/>
        <w:rPr>
          <w:b/>
          <w:bCs/>
          <w:lang w:val="en-US"/>
        </w:rPr>
      </w:pPr>
    </w:p>
    <w:p w:rsidR="00D33466" w:rsidRDefault="00D33466" w:rsidP="00D33466">
      <w:pPr>
        <w:pStyle w:val="Body"/>
        <w:spacing w:after="0" w:line="240" w:lineRule="auto"/>
        <w:jc w:val="both"/>
      </w:pPr>
      <w:r>
        <w:rPr>
          <w:b/>
          <w:bCs/>
          <w:lang w:val="en-US"/>
        </w:rPr>
        <w:t>Name of Presenter</w:t>
      </w:r>
      <w:r>
        <w:rPr>
          <w:lang w:val="en-US"/>
        </w:rPr>
        <w:t>: Rayan El Hassan</w:t>
      </w:r>
    </w:p>
    <w:p w:rsidR="00D33466" w:rsidRDefault="00D33466" w:rsidP="00D33466">
      <w:pPr>
        <w:pStyle w:val="Body"/>
        <w:spacing w:after="0" w:line="240" w:lineRule="auto"/>
        <w:jc w:val="both"/>
      </w:pPr>
    </w:p>
    <w:p w:rsidR="00D33466" w:rsidRDefault="00D33466" w:rsidP="00D33466">
      <w:pPr>
        <w:pStyle w:val="Body"/>
        <w:spacing w:after="0" w:line="240" w:lineRule="auto"/>
        <w:jc w:val="both"/>
        <w:rPr>
          <w:lang w:val="en-US"/>
        </w:rPr>
      </w:pPr>
      <w:r>
        <w:rPr>
          <w:b/>
          <w:bCs/>
          <w:lang w:val="en-US"/>
        </w:rPr>
        <w:t>Training grade/post</w:t>
      </w:r>
      <w:r>
        <w:rPr>
          <w:lang w:val="en-US"/>
        </w:rPr>
        <w:t>: ST6 / Current Post JCUH</w:t>
      </w:r>
    </w:p>
    <w:p w:rsidR="00D33466" w:rsidRDefault="00D33466" w:rsidP="00D33466">
      <w:pPr>
        <w:pStyle w:val="Body"/>
        <w:spacing w:after="0" w:line="240" w:lineRule="auto"/>
        <w:jc w:val="both"/>
        <w:rPr>
          <w:lang w:val="en-US"/>
        </w:rPr>
      </w:pPr>
    </w:p>
    <w:p w:rsidR="00D33466" w:rsidRDefault="00D33466" w:rsidP="00D33466">
      <w:pPr>
        <w:pStyle w:val="Body"/>
        <w:spacing w:after="0" w:line="240" w:lineRule="auto"/>
        <w:jc w:val="both"/>
      </w:pPr>
      <w:r>
        <w:rPr>
          <w:b/>
          <w:bCs/>
          <w:lang w:val="en-US"/>
        </w:rPr>
        <w:t>Institution</w:t>
      </w:r>
      <w:r>
        <w:rPr>
          <w:lang w:val="en-US"/>
        </w:rPr>
        <w:t>: North Cumbria Integrated Care NHS Foundation Trust</w:t>
      </w:r>
    </w:p>
    <w:p w:rsidR="00D33466" w:rsidRDefault="00D33466" w:rsidP="00D33466">
      <w:pPr>
        <w:pStyle w:val="Body"/>
        <w:spacing w:after="0" w:line="240" w:lineRule="auto"/>
        <w:jc w:val="both"/>
      </w:pPr>
    </w:p>
    <w:p w:rsidR="00D33466" w:rsidRDefault="00D33466" w:rsidP="00D33466">
      <w:pPr>
        <w:pStyle w:val="Body"/>
        <w:spacing w:after="0" w:line="240" w:lineRule="auto"/>
        <w:jc w:val="both"/>
      </w:pPr>
      <w:r>
        <w:rPr>
          <w:b/>
          <w:bCs/>
          <w:lang w:val="en-US"/>
        </w:rPr>
        <w:t>Title of Presentation</w:t>
      </w:r>
      <w:r>
        <w:rPr>
          <w:lang w:val="en-US"/>
        </w:rPr>
        <w:t>: Day-Case PCNL - A series in a District General Hospital</w:t>
      </w:r>
    </w:p>
    <w:p w:rsidR="00D33466" w:rsidRDefault="00D33466" w:rsidP="00D33466">
      <w:pPr>
        <w:pStyle w:val="Body"/>
        <w:spacing w:after="0" w:line="240" w:lineRule="auto"/>
        <w:jc w:val="both"/>
      </w:pPr>
    </w:p>
    <w:p w:rsidR="00D33466" w:rsidRDefault="00D33466" w:rsidP="00D33466">
      <w:pPr>
        <w:pStyle w:val="Body"/>
        <w:spacing w:after="0" w:line="240" w:lineRule="auto"/>
        <w:jc w:val="both"/>
        <w:rPr>
          <w:lang w:val="en-US"/>
        </w:rPr>
      </w:pPr>
    </w:p>
    <w:p w:rsidR="00D33466" w:rsidRDefault="00D33466" w:rsidP="00D33466">
      <w:pPr>
        <w:pStyle w:val="Body"/>
        <w:spacing w:after="0" w:line="240" w:lineRule="auto"/>
        <w:jc w:val="both"/>
      </w:pPr>
      <w:r>
        <w:rPr>
          <w:b/>
          <w:bCs/>
          <w:lang w:val="en-US"/>
        </w:rPr>
        <w:t>Authors</w:t>
      </w:r>
      <w:r>
        <w:rPr>
          <w:lang w:val="en-US"/>
        </w:rPr>
        <w:t>: Matthieu Bordenave, Rayan El Hassan</w:t>
      </w:r>
    </w:p>
    <w:p w:rsidR="00D33466" w:rsidRDefault="00D33466" w:rsidP="00D33466">
      <w:pPr>
        <w:pStyle w:val="Body"/>
        <w:spacing w:after="0" w:line="240" w:lineRule="auto"/>
        <w:jc w:val="both"/>
        <w:rPr>
          <w:lang w:val="en-US"/>
        </w:rPr>
      </w:pPr>
    </w:p>
    <w:p w:rsidR="00D33466" w:rsidRDefault="00D33466" w:rsidP="00D33466">
      <w:pPr>
        <w:pStyle w:val="Body"/>
        <w:spacing w:after="0" w:line="240" w:lineRule="auto"/>
        <w:jc w:val="both"/>
        <w:rPr>
          <w:lang w:val="en-US"/>
        </w:rPr>
      </w:pPr>
    </w:p>
    <w:p w:rsidR="00D33466" w:rsidRDefault="00D33466" w:rsidP="00D33466">
      <w:pPr>
        <w:pStyle w:val="Body"/>
        <w:spacing w:after="0" w:line="240" w:lineRule="auto"/>
        <w:jc w:val="both"/>
      </w:pPr>
      <w:r>
        <w:rPr>
          <w:b/>
          <w:bCs/>
          <w:lang w:val="en-US"/>
        </w:rPr>
        <w:t>Aims</w:t>
      </w:r>
      <w:r>
        <w:rPr>
          <w:lang w:val="en-US"/>
        </w:rPr>
        <w:t>: To demonstrate the possibility to perform Percutaneous Nephrolithotomy (PCNL) as a day-case procedure.</w:t>
      </w:r>
    </w:p>
    <w:p w:rsidR="00D33466" w:rsidRDefault="00D33466" w:rsidP="00D33466">
      <w:pPr>
        <w:pStyle w:val="Body"/>
        <w:spacing w:after="0" w:line="240" w:lineRule="auto"/>
        <w:jc w:val="both"/>
        <w:rPr>
          <w:lang w:val="en-US"/>
        </w:rPr>
      </w:pPr>
    </w:p>
    <w:p w:rsidR="00D33466" w:rsidRDefault="00D33466" w:rsidP="00D33466">
      <w:pPr>
        <w:pStyle w:val="Body"/>
        <w:spacing w:after="0" w:line="240" w:lineRule="auto"/>
        <w:jc w:val="both"/>
        <w:rPr>
          <w:lang w:val="en-US"/>
        </w:rPr>
      </w:pPr>
    </w:p>
    <w:p w:rsidR="00D33466" w:rsidRDefault="00D33466" w:rsidP="00D33466">
      <w:pPr>
        <w:pStyle w:val="Body"/>
        <w:spacing w:after="0" w:line="240" w:lineRule="auto"/>
        <w:jc w:val="both"/>
      </w:pPr>
      <w:r>
        <w:rPr>
          <w:b/>
          <w:bCs/>
          <w:lang w:val="en-US"/>
        </w:rPr>
        <w:t>Methods</w:t>
      </w:r>
      <w:r>
        <w:rPr>
          <w:lang w:val="en-US"/>
        </w:rPr>
        <w:t xml:space="preserve">: A 5-year retrospective study in a district general hospital, by a single surgeon. </w:t>
      </w:r>
    </w:p>
    <w:p w:rsidR="00D33466" w:rsidRDefault="00D33466" w:rsidP="00D33466">
      <w:pPr>
        <w:pStyle w:val="Body"/>
        <w:spacing w:after="0" w:line="240" w:lineRule="auto"/>
        <w:jc w:val="both"/>
        <w:rPr>
          <w:lang w:val="en-US"/>
        </w:rPr>
      </w:pPr>
    </w:p>
    <w:p w:rsidR="00D33466" w:rsidRDefault="00D33466" w:rsidP="00D33466">
      <w:pPr>
        <w:pStyle w:val="Body"/>
        <w:spacing w:after="0" w:line="240" w:lineRule="auto"/>
        <w:jc w:val="both"/>
        <w:rPr>
          <w:lang w:val="en-US"/>
        </w:rPr>
      </w:pPr>
    </w:p>
    <w:p w:rsidR="00D33466" w:rsidRDefault="00D33466" w:rsidP="00D33466">
      <w:pPr>
        <w:pStyle w:val="Body"/>
        <w:spacing w:after="0" w:line="240" w:lineRule="auto"/>
        <w:jc w:val="both"/>
        <w:rPr>
          <w:lang w:val="en-US"/>
        </w:rPr>
      </w:pPr>
      <w:r>
        <w:rPr>
          <w:b/>
          <w:bCs/>
          <w:lang w:val="en-US"/>
        </w:rPr>
        <w:t>Results</w:t>
      </w:r>
      <w:r>
        <w:rPr>
          <w:lang w:val="en-US"/>
        </w:rPr>
        <w:t xml:space="preserve">: Out of 68 PNCLs, 17 (25%) were done as day-case procedures between January 2018 and December 2023. The average age was 58.  94% were ASA 1 or 2.  71% were obese with a BMI more than 30.  9/17 had Guy’s Stone Score (GSS) of 1, 5/17 had GGS 2, 3/17 had GSS 3. No patients with GSS 4 were involved. </w:t>
      </w:r>
    </w:p>
    <w:p w:rsidR="00D33466" w:rsidRDefault="00D33466" w:rsidP="00D33466">
      <w:pPr>
        <w:pStyle w:val="Body"/>
        <w:spacing w:after="0" w:line="240" w:lineRule="auto"/>
        <w:jc w:val="both"/>
        <w:rPr>
          <w:lang w:val="en-US"/>
        </w:rPr>
      </w:pPr>
      <w:r>
        <w:rPr>
          <w:lang w:val="en-US"/>
        </w:rPr>
        <w:t xml:space="preserve">The technique was </w:t>
      </w:r>
      <w:proofErr w:type="spellStart"/>
      <w:r>
        <w:rPr>
          <w:lang w:val="en-US"/>
        </w:rPr>
        <w:t>standardised</w:t>
      </w:r>
      <w:proofErr w:type="spellEnd"/>
      <w:r>
        <w:rPr>
          <w:lang w:val="en-US"/>
        </w:rPr>
        <w:t xml:space="preserve"> with patients positioned supine, using an ultrasound guided access, 30Fr access sheath and Swiss </w:t>
      </w:r>
      <w:proofErr w:type="spellStart"/>
      <w:r>
        <w:rPr>
          <w:lang w:val="en-US"/>
        </w:rPr>
        <w:t>Lithoclast</w:t>
      </w:r>
      <w:proofErr w:type="spellEnd"/>
      <w:r>
        <w:rPr>
          <w:lang w:val="en-US"/>
        </w:rPr>
        <w:t xml:space="preserve"> (combination ballistic </w:t>
      </w:r>
      <w:proofErr w:type="spellStart"/>
      <w:r>
        <w:rPr>
          <w:lang w:val="en-US"/>
        </w:rPr>
        <w:t>Lithoclast</w:t>
      </w:r>
      <w:proofErr w:type="spellEnd"/>
      <w:r>
        <w:rPr>
          <w:lang w:val="en-US"/>
        </w:rPr>
        <w:t xml:space="preserve"> + ultrasound). All cases were tubeless (No nephrostomy drain).</w:t>
      </w:r>
    </w:p>
    <w:p w:rsidR="00D33466" w:rsidRDefault="00D33466" w:rsidP="00D33466">
      <w:pPr>
        <w:pStyle w:val="Body"/>
        <w:spacing w:after="0" w:line="240" w:lineRule="auto"/>
        <w:jc w:val="both"/>
        <w:rPr>
          <w:lang w:val="en-US"/>
        </w:rPr>
      </w:pPr>
      <w:r>
        <w:rPr>
          <w:lang w:val="en-US"/>
        </w:rPr>
        <w:t xml:space="preserve">82% were done on a morning list.  The average time in theatre was 146 minutes [111 - 203] and average time in recovery was 59 minutes [20 - 174]. The average post-operative time in Surgical Ambulatory Care unit was 195 minutes [55 - 405] and average time to discharge was 279 minutes [97 - 449]. </w:t>
      </w:r>
      <w:r w:rsidRPr="00BA1DBE">
        <w:rPr>
          <w:lang w:val="en-US"/>
        </w:rPr>
        <w:t xml:space="preserve"> </w:t>
      </w:r>
      <w:r>
        <w:rPr>
          <w:lang w:val="en-US"/>
        </w:rPr>
        <w:t>The average distance from residence was 34 minutes [6 - 84].</w:t>
      </w:r>
    </w:p>
    <w:p w:rsidR="00D33466" w:rsidRDefault="00D33466" w:rsidP="00D33466">
      <w:pPr>
        <w:pStyle w:val="Body"/>
        <w:spacing w:after="0" w:line="240" w:lineRule="auto"/>
        <w:jc w:val="both"/>
        <w:rPr>
          <w:lang w:val="en-US"/>
        </w:rPr>
      </w:pPr>
      <w:r>
        <w:rPr>
          <w:lang w:val="en-US"/>
        </w:rPr>
        <w:t>There were no complications and no re-admissions required.</w:t>
      </w:r>
    </w:p>
    <w:p w:rsidR="00EC2E3B" w:rsidRDefault="00EC2E3B" w:rsidP="00D33466">
      <w:pPr>
        <w:pStyle w:val="Body"/>
        <w:spacing w:after="0" w:line="240" w:lineRule="auto"/>
        <w:jc w:val="both"/>
        <w:rPr>
          <w:lang w:val="en-US"/>
        </w:rPr>
      </w:pPr>
    </w:p>
    <w:p w:rsidR="00D33466" w:rsidRDefault="00D33466" w:rsidP="00D33466">
      <w:pPr>
        <w:pStyle w:val="Body"/>
        <w:spacing w:after="0" w:line="240" w:lineRule="auto"/>
        <w:jc w:val="both"/>
      </w:pPr>
      <w:r>
        <w:rPr>
          <w:b/>
          <w:bCs/>
          <w:lang w:val="en-US"/>
        </w:rPr>
        <w:t>Conclusion</w:t>
      </w:r>
      <w:r>
        <w:rPr>
          <w:lang w:val="en-US"/>
        </w:rPr>
        <w:t>: The study demonstrates that day-case PCNL can be performed in a safe way.</w:t>
      </w:r>
    </w:p>
    <w:p w:rsidR="00D33466" w:rsidRDefault="00D33466" w:rsidP="00D33466"/>
    <w:p w:rsidR="00D33466" w:rsidRDefault="00D33466" w:rsidP="00D33466"/>
    <w:p w:rsidR="00D33466" w:rsidRDefault="00D33466" w:rsidP="00D33466"/>
    <w:p w:rsidR="00D33466" w:rsidRDefault="00D33466" w:rsidP="00D33466"/>
    <w:p w:rsidR="00D33466" w:rsidRDefault="00D33466" w:rsidP="00D33466"/>
    <w:p w:rsidR="00D33466" w:rsidRDefault="00D33466" w:rsidP="00D33466"/>
    <w:p w:rsidR="00D33466" w:rsidRDefault="00D33466" w:rsidP="00D33466"/>
    <w:p w:rsidR="00D33466" w:rsidRDefault="00D33466" w:rsidP="00D33466"/>
    <w:p w:rsidR="00D33466" w:rsidRDefault="00D33466" w:rsidP="00D33466"/>
    <w:tbl>
      <w:tblPr>
        <w:tblW w:w="8545" w:type="dxa"/>
        <w:tblLook w:val="04A0" w:firstRow="1" w:lastRow="0" w:firstColumn="1" w:lastColumn="0" w:noHBand="0" w:noVBand="1"/>
      </w:tblPr>
      <w:tblGrid>
        <w:gridCol w:w="5178"/>
        <w:gridCol w:w="3367"/>
      </w:tblGrid>
      <w:tr w:rsidR="00D33466" w:rsidTr="00D33466">
        <w:tc>
          <w:tcPr>
            <w:tcW w:w="5178" w:type="dxa"/>
            <w:tcBorders>
              <w:top w:val="single" w:sz="4" w:space="0" w:color="000000"/>
              <w:left w:val="single" w:sz="4" w:space="0" w:color="000000"/>
              <w:bottom w:val="single" w:sz="4" w:space="0" w:color="000000"/>
              <w:right w:val="single" w:sz="4" w:space="0" w:color="000000"/>
            </w:tcBorders>
          </w:tcPr>
          <w:p w:rsidR="00D33466" w:rsidRDefault="00D33466" w:rsidP="00D33466">
            <w:pPr>
              <w:spacing w:after="0" w:line="240" w:lineRule="auto"/>
              <w:rPr>
                <w:rFonts w:cs="Calibri"/>
              </w:rPr>
            </w:pPr>
            <w:r>
              <w:rPr>
                <w:b/>
              </w:rPr>
              <w:t xml:space="preserve">Name of </w:t>
            </w:r>
            <w:proofErr w:type="spellStart"/>
            <w:r>
              <w:rPr>
                <w:b/>
              </w:rPr>
              <w:t>Presenter</w:t>
            </w:r>
            <w:r>
              <w:t>:</w:t>
            </w:r>
            <w:r>
              <w:rPr>
                <w:rFonts w:cs="Calibri"/>
              </w:rPr>
              <w:t>Ricardo</w:t>
            </w:r>
            <w:proofErr w:type="spellEnd"/>
            <w:r>
              <w:rPr>
                <w:rFonts w:cs="Calibri"/>
              </w:rPr>
              <w:t xml:space="preserve"> </w:t>
            </w:r>
            <w:proofErr w:type="spellStart"/>
            <w:r>
              <w:rPr>
                <w:rFonts w:cs="Calibri"/>
              </w:rPr>
              <w:t>Fernandes</w:t>
            </w:r>
            <w:proofErr w:type="spellEnd"/>
          </w:p>
          <w:p w:rsidR="00D33466" w:rsidRDefault="00D33466" w:rsidP="00D33466">
            <w:pPr>
              <w:spacing w:after="0" w:line="240" w:lineRule="auto"/>
            </w:pPr>
          </w:p>
        </w:tc>
        <w:tc>
          <w:tcPr>
            <w:tcW w:w="3367" w:type="dxa"/>
            <w:tcBorders>
              <w:top w:val="single" w:sz="4" w:space="0" w:color="000000"/>
              <w:left w:val="single" w:sz="4" w:space="0" w:color="000000"/>
              <w:bottom w:val="single" w:sz="4" w:space="0" w:color="000000"/>
              <w:right w:val="single" w:sz="4" w:space="0" w:color="000000"/>
            </w:tcBorders>
          </w:tcPr>
          <w:p w:rsidR="00D33466" w:rsidRDefault="00D33466" w:rsidP="00D33466">
            <w:pPr>
              <w:spacing w:after="0" w:line="240" w:lineRule="auto"/>
            </w:pPr>
            <w:r>
              <w:rPr>
                <w:b/>
              </w:rPr>
              <w:t>Training grade/</w:t>
            </w:r>
            <w:proofErr w:type="spellStart"/>
            <w:r>
              <w:rPr>
                <w:b/>
              </w:rPr>
              <w:t>post</w:t>
            </w:r>
            <w:r>
              <w:t>:Trust</w:t>
            </w:r>
            <w:proofErr w:type="spellEnd"/>
            <w:r>
              <w:t xml:space="preserve"> Grade</w:t>
            </w:r>
          </w:p>
        </w:tc>
      </w:tr>
      <w:tr w:rsidR="00D33466" w:rsidTr="00D33466">
        <w:tc>
          <w:tcPr>
            <w:tcW w:w="8545" w:type="dxa"/>
            <w:gridSpan w:val="2"/>
            <w:tcBorders>
              <w:top w:val="single" w:sz="4" w:space="0" w:color="000000"/>
              <w:left w:val="single" w:sz="4" w:space="0" w:color="000000"/>
              <w:bottom w:val="single" w:sz="4" w:space="0" w:color="000000"/>
              <w:right w:val="single" w:sz="4" w:space="0" w:color="000000"/>
            </w:tcBorders>
          </w:tcPr>
          <w:p w:rsidR="00D33466" w:rsidRDefault="00D33466" w:rsidP="00D33466">
            <w:pPr>
              <w:spacing w:after="0" w:line="240" w:lineRule="auto"/>
              <w:rPr>
                <w:rFonts w:cs="Calibri"/>
              </w:rPr>
            </w:pPr>
            <w:proofErr w:type="spellStart"/>
            <w:r>
              <w:rPr>
                <w:b/>
              </w:rPr>
              <w:t>Institution</w:t>
            </w:r>
            <w:r>
              <w:t>:</w:t>
            </w:r>
            <w:r>
              <w:rPr>
                <w:rFonts w:cs="Calibri"/>
              </w:rPr>
              <w:t>South</w:t>
            </w:r>
            <w:proofErr w:type="spellEnd"/>
            <w:r>
              <w:rPr>
                <w:rFonts w:cs="Calibri"/>
              </w:rPr>
              <w:t xml:space="preserve"> Tyneside and Sunderland NHS Foundation Trust</w:t>
            </w:r>
          </w:p>
          <w:p w:rsidR="00D33466" w:rsidRDefault="00D33466" w:rsidP="00D33466">
            <w:pPr>
              <w:spacing w:after="0" w:line="240" w:lineRule="auto"/>
            </w:pPr>
          </w:p>
        </w:tc>
      </w:tr>
      <w:tr w:rsidR="00D33466" w:rsidTr="00D33466">
        <w:tc>
          <w:tcPr>
            <w:tcW w:w="8545" w:type="dxa"/>
            <w:gridSpan w:val="2"/>
            <w:tcBorders>
              <w:top w:val="single" w:sz="4" w:space="0" w:color="000000"/>
              <w:left w:val="single" w:sz="4" w:space="0" w:color="000000"/>
              <w:bottom w:val="single" w:sz="4" w:space="0" w:color="000000"/>
              <w:right w:val="single" w:sz="4" w:space="0" w:color="000000"/>
            </w:tcBorders>
          </w:tcPr>
          <w:p w:rsidR="00D33466" w:rsidRDefault="00D33466" w:rsidP="00D33466">
            <w:pPr>
              <w:spacing w:after="0" w:line="240" w:lineRule="auto"/>
              <w:rPr>
                <w:rFonts w:cs="Calibri"/>
              </w:rPr>
            </w:pPr>
            <w:r>
              <w:rPr>
                <w:b/>
              </w:rPr>
              <w:t xml:space="preserve">Title of </w:t>
            </w:r>
            <w:proofErr w:type="spellStart"/>
            <w:r>
              <w:rPr>
                <w:b/>
              </w:rPr>
              <w:t>Presentation</w:t>
            </w:r>
            <w:r>
              <w:t>:</w:t>
            </w:r>
            <w:r>
              <w:rPr>
                <w:rFonts w:cs="Calibri"/>
              </w:rPr>
              <w:t>Transforming</w:t>
            </w:r>
            <w:proofErr w:type="spellEnd"/>
            <w:r>
              <w:rPr>
                <w:rFonts w:cs="Calibri"/>
              </w:rPr>
              <w:t xml:space="preserve"> Ureteric Stent Management: Implementing a Stent on Strings Self-Removal Service </w:t>
            </w:r>
          </w:p>
        </w:tc>
      </w:tr>
      <w:tr w:rsidR="00D33466" w:rsidTr="00D33466">
        <w:tc>
          <w:tcPr>
            <w:tcW w:w="8545" w:type="dxa"/>
            <w:gridSpan w:val="2"/>
            <w:tcBorders>
              <w:top w:val="single" w:sz="4" w:space="0" w:color="000000"/>
              <w:left w:val="single" w:sz="4" w:space="0" w:color="000000"/>
              <w:bottom w:val="single" w:sz="4" w:space="0" w:color="000000"/>
              <w:right w:val="single" w:sz="4" w:space="0" w:color="000000"/>
            </w:tcBorders>
          </w:tcPr>
          <w:p w:rsidR="00D33466" w:rsidRDefault="00D33466" w:rsidP="00D33466">
            <w:pPr>
              <w:spacing w:after="0" w:line="240" w:lineRule="auto"/>
              <w:rPr>
                <w:rFonts w:cs="Calibri"/>
              </w:rPr>
            </w:pPr>
            <w:proofErr w:type="spellStart"/>
            <w:r>
              <w:rPr>
                <w:b/>
              </w:rPr>
              <w:t>Authors</w:t>
            </w:r>
            <w:r>
              <w:t>:</w:t>
            </w:r>
            <w:r>
              <w:rPr>
                <w:rFonts w:cs="Calibri"/>
              </w:rPr>
              <w:t>R</w:t>
            </w:r>
            <w:proofErr w:type="spellEnd"/>
            <w:r>
              <w:rPr>
                <w:rFonts w:cs="Calibri"/>
              </w:rPr>
              <w:t>. Fernandes, M. Smart, D. Nevin, K. Mackenzie</w:t>
            </w:r>
          </w:p>
          <w:p w:rsidR="00D33466" w:rsidRDefault="00D33466" w:rsidP="00D33466">
            <w:pPr>
              <w:rPr>
                <w:rFonts w:cs="Calibri"/>
              </w:rPr>
            </w:pPr>
          </w:p>
        </w:tc>
      </w:tr>
      <w:tr w:rsidR="00D33466" w:rsidTr="00D33466">
        <w:tc>
          <w:tcPr>
            <w:tcW w:w="8545" w:type="dxa"/>
            <w:gridSpan w:val="2"/>
            <w:tcBorders>
              <w:top w:val="single" w:sz="4" w:space="0" w:color="000000"/>
              <w:left w:val="single" w:sz="4" w:space="0" w:color="000000"/>
              <w:bottom w:val="single" w:sz="4" w:space="0" w:color="000000"/>
              <w:right w:val="single" w:sz="4" w:space="0" w:color="000000"/>
            </w:tcBorders>
            <w:shd w:val="solid" w:color="D9D9D9" w:fill="auto"/>
          </w:tcPr>
          <w:p w:rsidR="00D33466" w:rsidRDefault="00D33466" w:rsidP="00D33466">
            <w:pPr>
              <w:spacing w:after="0" w:line="240" w:lineRule="auto"/>
              <w:rPr>
                <w:rFonts w:cs="Calibri"/>
              </w:rPr>
            </w:pPr>
            <w:proofErr w:type="spellStart"/>
            <w:r>
              <w:rPr>
                <w:b/>
              </w:rPr>
              <w:t>Aims</w:t>
            </w:r>
            <w:proofErr w:type="gramStart"/>
            <w:r>
              <w:t>:</w:t>
            </w:r>
            <w:r>
              <w:rPr>
                <w:rFonts w:cs="Calibri"/>
              </w:rPr>
              <w:t>To</w:t>
            </w:r>
            <w:proofErr w:type="spellEnd"/>
            <w:proofErr w:type="gramEnd"/>
            <w:r>
              <w:rPr>
                <w:rFonts w:cs="Calibri"/>
              </w:rPr>
              <w:t xml:space="preserve"> reduce the burden of ureteric stent removal by establishing a new service that enables patients to safely perform self-removal of ureteric stents on strings.</w:t>
            </w:r>
          </w:p>
          <w:p w:rsidR="00EC2E3B" w:rsidRDefault="00EC2E3B" w:rsidP="00D33466">
            <w:pPr>
              <w:spacing w:after="0" w:line="240" w:lineRule="auto"/>
              <w:rPr>
                <w:rFonts w:cs="Calibri"/>
              </w:rPr>
            </w:pPr>
          </w:p>
          <w:p w:rsidR="00EC2E3B" w:rsidRDefault="00EC2E3B" w:rsidP="00D33466">
            <w:pPr>
              <w:spacing w:after="0" w:line="240" w:lineRule="auto"/>
              <w:rPr>
                <w:rFonts w:cs="Calibri"/>
              </w:rPr>
            </w:pPr>
          </w:p>
        </w:tc>
      </w:tr>
      <w:tr w:rsidR="00D33466" w:rsidTr="00D33466">
        <w:tc>
          <w:tcPr>
            <w:tcW w:w="8545" w:type="dxa"/>
            <w:gridSpan w:val="2"/>
            <w:tcBorders>
              <w:top w:val="single" w:sz="4" w:space="0" w:color="000000"/>
              <w:left w:val="single" w:sz="4" w:space="0" w:color="000000"/>
              <w:bottom w:val="single" w:sz="4" w:space="0" w:color="000000"/>
              <w:right w:val="single" w:sz="4" w:space="0" w:color="000000"/>
            </w:tcBorders>
            <w:shd w:val="solid" w:color="D9D9D9" w:fill="auto"/>
          </w:tcPr>
          <w:p w:rsidR="00D33466" w:rsidRDefault="00D33466" w:rsidP="00D33466">
            <w:pPr>
              <w:spacing w:after="0" w:line="240" w:lineRule="auto"/>
              <w:rPr>
                <w:rFonts w:cs="Calibri"/>
              </w:rPr>
            </w:pPr>
            <w:proofErr w:type="spellStart"/>
            <w:r>
              <w:rPr>
                <w:b/>
              </w:rPr>
              <w:t>Methods</w:t>
            </w:r>
            <w:proofErr w:type="gramStart"/>
            <w:r>
              <w:t>:</w:t>
            </w:r>
            <w:r>
              <w:rPr>
                <w:rFonts w:cs="Calibri"/>
              </w:rPr>
              <w:t>From</w:t>
            </w:r>
            <w:proofErr w:type="spellEnd"/>
            <w:proofErr w:type="gramEnd"/>
            <w:r>
              <w:rPr>
                <w:rFonts w:cs="Calibri"/>
              </w:rPr>
              <w:t xml:space="preserve"> November 2023 to April 2024, an initial cohort </w:t>
            </w:r>
            <w:proofErr w:type="spellStart"/>
            <w:r>
              <w:rPr>
                <w:rFonts w:cs="Calibri"/>
              </w:rPr>
              <w:t>self removed</w:t>
            </w:r>
            <w:proofErr w:type="spellEnd"/>
            <w:r>
              <w:rPr>
                <w:rFonts w:cs="Calibri"/>
              </w:rPr>
              <w:t xml:space="preserve"> their stents following guidance from a single surgeon. A patient satisfaction questionnaire was developed. Following implementation of a number of changes, patients </w:t>
            </w:r>
            <w:proofErr w:type="spellStart"/>
            <w:proofErr w:type="gramStart"/>
            <w:r>
              <w:rPr>
                <w:rFonts w:cs="Calibri"/>
              </w:rPr>
              <w:t>self removing</w:t>
            </w:r>
            <w:proofErr w:type="spellEnd"/>
            <w:proofErr w:type="gramEnd"/>
            <w:r>
              <w:rPr>
                <w:rFonts w:cs="Calibri"/>
              </w:rPr>
              <w:t xml:space="preserve"> their stent between August 2024 and September 2024 were evaluated. </w:t>
            </w:r>
          </w:p>
          <w:p w:rsidR="00EC2E3B" w:rsidRDefault="00EC2E3B" w:rsidP="00D33466">
            <w:pPr>
              <w:spacing w:after="0" w:line="240" w:lineRule="auto"/>
              <w:rPr>
                <w:rFonts w:cs="Calibri"/>
              </w:rPr>
            </w:pPr>
          </w:p>
          <w:p w:rsidR="00EC2E3B" w:rsidRDefault="00EC2E3B" w:rsidP="00D33466">
            <w:pPr>
              <w:spacing w:after="0" w:line="240" w:lineRule="auto"/>
              <w:rPr>
                <w:rFonts w:cs="Calibri"/>
              </w:rPr>
            </w:pPr>
          </w:p>
        </w:tc>
      </w:tr>
      <w:tr w:rsidR="00D33466" w:rsidTr="00D33466">
        <w:tc>
          <w:tcPr>
            <w:tcW w:w="8545" w:type="dxa"/>
            <w:gridSpan w:val="2"/>
            <w:tcBorders>
              <w:top w:val="single" w:sz="4" w:space="0" w:color="000000"/>
              <w:left w:val="single" w:sz="4" w:space="0" w:color="000000"/>
              <w:bottom w:val="single" w:sz="4" w:space="0" w:color="000000"/>
              <w:right w:val="single" w:sz="4" w:space="0" w:color="000000"/>
            </w:tcBorders>
            <w:shd w:val="solid" w:color="D9D9D9" w:fill="auto"/>
          </w:tcPr>
          <w:p w:rsidR="00D33466" w:rsidRDefault="00D33466" w:rsidP="00D33466">
            <w:pPr>
              <w:spacing w:after="0" w:line="240" w:lineRule="auto"/>
              <w:rPr>
                <w:rFonts w:cs="Calibri"/>
              </w:rPr>
            </w:pPr>
            <w:r>
              <w:rPr>
                <w:b/>
              </w:rPr>
              <w:t>Results</w:t>
            </w:r>
            <w:r>
              <w:t>:</w:t>
            </w:r>
            <w:r>
              <w:rPr>
                <w:rFonts w:cs="Calibri"/>
              </w:rPr>
              <w:t xml:space="preserve">5 patients were identified, all of whom successfully removed their stents and were willing to perform the procedure again. 3 patients (60%) found the procedure straightforward and uneventful. Patients highlighted the requirement for clearer instruction on how to perform the removal and a nurse led telephone appointment to confirm removal. </w:t>
            </w:r>
          </w:p>
          <w:p w:rsidR="00D33466" w:rsidRDefault="00D33466" w:rsidP="00D33466">
            <w:pPr>
              <w:spacing w:after="0" w:line="240" w:lineRule="auto"/>
            </w:pPr>
            <w:r>
              <w:t>After implementing changes, 12 patients were planned for self-removal, however, due to a variety of issues, 3 patients performed self-removal. There was overall improvement in patient satisfaction.</w:t>
            </w:r>
          </w:p>
          <w:p w:rsidR="00EC2E3B" w:rsidRDefault="00EC2E3B" w:rsidP="00D33466">
            <w:pPr>
              <w:spacing w:after="0" w:line="240" w:lineRule="auto"/>
            </w:pPr>
          </w:p>
          <w:p w:rsidR="00EC2E3B" w:rsidRDefault="00EC2E3B" w:rsidP="00D33466">
            <w:pPr>
              <w:spacing w:after="0" w:line="240" w:lineRule="auto"/>
            </w:pPr>
          </w:p>
        </w:tc>
      </w:tr>
      <w:tr w:rsidR="00D33466" w:rsidTr="00D33466">
        <w:trPr>
          <w:trHeight w:val="1403"/>
        </w:trPr>
        <w:tc>
          <w:tcPr>
            <w:tcW w:w="8545" w:type="dxa"/>
            <w:gridSpan w:val="2"/>
            <w:tcBorders>
              <w:top w:val="single" w:sz="4" w:space="0" w:color="000000"/>
              <w:left w:val="single" w:sz="4" w:space="0" w:color="000000"/>
              <w:bottom w:val="single" w:sz="4" w:space="0" w:color="000000"/>
              <w:right w:val="single" w:sz="4" w:space="0" w:color="000000"/>
            </w:tcBorders>
            <w:shd w:val="solid" w:color="D9D9D9" w:fill="auto"/>
          </w:tcPr>
          <w:p w:rsidR="00D33466" w:rsidRDefault="00D33466" w:rsidP="00D33466">
            <w:pPr>
              <w:spacing w:after="0" w:line="240" w:lineRule="auto"/>
              <w:rPr>
                <w:rFonts w:cs="Calibri"/>
              </w:rPr>
            </w:pPr>
            <w:proofErr w:type="spellStart"/>
            <w:r>
              <w:rPr>
                <w:b/>
              </w:rPr>
              <w:t>Conclusion</w:t>
            </w:r>
            <w:proofErr w:type="gramStart"/>
            <w:r>
              <w:t>:</w:t>
            </w:r>
            <w:r>
              <w:rPr>
                <w:rFonts w:cs="Calibri"/>
              </w:rPr>
              <w:t>This</w:t>
            </w:r>
            <w:proofErr w:type="spellEnd"/>
            <w:proofErr w:type="gramEnd"/>
            <w:r>
              <w:rPr>
                <w:rFonts w:cs="Calibri"/>
              </w:rPr>
              <w:t xml:space="preserve"> study demonstrates that self-removal of ureteric stents on strings is a safe and effective option for selected patients. As part of the new service, we have introduced a patient information leaflet and established a dedicated telephone clinic to ensure patient safety. Further refinement of the service is required to increase the number of patients undertaking </w:t>
            </w:r>
            <w:proofErr w:type="spellStart"/>
            <w:r>
              <w:rPr>
                <w:rFonts w:cs="Calibri"/>
              </w:rPr>
              <w:t>self removal</w:t>
            </w:r>
            <w:proofErr w:type="spellEnd"/>
            <w:r>
              <w:rPr>
                <w:rFonts w:cs="Calibri"/>
              </w:rPr>
              <w:t xml:space="preserve">. </w:t>
            </w:r>
          </w:p>
          <w:p w:rsidR="00EC2E3B" w:rsidRDefault="00EC2E3B" w:rsidP="00D33466">
            <w:pPr>
              <w:spacing w:after="0" w:line="240" w:lineRule="auto"/>
              <w:rPr>
                <w:rFonts w:cs="Calibri"/>
              </w:rPr>
            </w:pPr>
          </w:p>
          <w:p w:rsidR="00EC2E3B" w:rsidRDefault="00EC2E3B" w:rsidP="00D33466">
            <w:pPr>
              <w:spacing w:after="0" w:line="240" w:lineRule="auto"/>
              <w:rPr>
                <w:rFonts w:cs="Calibri"/>
              </w:rPr>
            </w:pPr>
          </w:p>
        </w:tc>
      </w:tr>
    </w:tbl>
    <w:p w:rsidR="00D33466" w:rsidRDefault="00D33466" w:rsidP="00D33466"/>
    <w:p w:rsidR="00D33466" w:rsidRDefault="00D33466" w:rsidP="00D33466"/>
    <w:p w:rsidR="00D33466" w:rsidRDefault="00D33466" w:rsidP="00D33466"/>
    <w:p w:rsidR="00D33466" w:rsidRDefault="00D33466" w:rsidP="00D33466"/>
    <w:p w:rsidR="00EC2E3B" w:rsidRDefault="00EC2E3B" w:rsidP="00D33466"/>
    <w:p w:rsidR="00D33466" w:rsidRDefault="00D33466" w:rsidP="00D33466"/>
    <w:tbl>
      <w:tblPr>
        <w:tblW w:w="8545" w:type="dxa"/>
        <w:tblLook w:val="04A0" w:firstRow="1" w:lastRow="0" w:firstColumn="1" w:lastColumn="0" w:noHBand="0" w:noVBand="1"/>
      </w:tblPr>
      <w:tblGrid>
        <w:gridCol w:w="5178"/>
        <w:gridCol w:w="3367"/>
      </w:tblGrid>
      <w:tr w:rsidR="00D33466" w:rsidTr="00D33466">
        <w:tc>
          <w:tcPr>
            <w:tcW w:w="5178" w:type="dxa"/>
            <w:tcBorders>
              <w:top w:val="single" w:sz="4" w:space="0" w:color="000000"/>
              <w:left w:val="single" w:sz="4" w:space="0" w:color="000000"/>
              <w:bottom w:val="single" w:sz="4" w:space="0" w:color="000000"/>
              <w:right w:val="single" w:sz="4" w:space="0" w:color="000000"/>
            </w:tcBorders>
          </w:tcPr>
          <w:p w:rsidR="00D33466" w:rsidRDefault="00D33466" w:rsidP="00D33466">
            <w:pPr>
              <w:spacing w:after="0" w:line="240" w:lineRule="auto"/>
              <w:rPr>
                <w:rFonts w:ascii="Basic Roman" w:eastAsia="Basic Roman" w:hAnsi="Basic Roman" w:cs="Basic Roman"/>
              </w:rPr>
            </w:pPr>
            <w:r>
              <w:rPr>
                <w:rFonts w:ascii="Basic Roman" w:eastAsia="Basic Roman" w:hAnsi="Basic Roman" w:cs="Basic Roman"/>
                <w:b/>
              </w:rPr>
              <w:t xml:space="preserve">Name of </w:t>
            </w:r>
            <w:proofErr w:type="spellStart"/>
            <w:r>
              <w:rPr>
                <w:rFonts w:ascii="Basic Roman" w:eastAsia="Basic Roman" w:hAnsi="Basic Roman" w:cs="Basic Roman"/>
                <w:b/>
              </w:rPr>
              <w:t>Presenter</w:t>
            </w:r>
            <w:r>
              <w:rPr>
                <w:rFonts w:ascii="Basic Roman" w:eastAsia="Basic Roman" w:hAnsi="Basic Roman" w:cs="Basic Roman"/>
              </w:rPr>
              <w:t>:Ricardo</w:t>
            </w:r>
            <w:proofErr w:type="spellEnd"/>
            <w:r>
              <w:rPr>
                <w:rFonts w:ascii="Basic Roman" w:eastAsia="Basic Roman" w:hAnsi="Basic Roman" w:cs="Basic Roman"/>
              </w:rPr>
              <w:t xml:space="preserve"> </w:t>
            </w:r>
            <w:proofErr w:type="spellStart"/>
            <w:r>
              <w:rPr>
                <w:rFonts w:ascii="Basic Roman" w:eastAsia="Basic Roman" w:hAnsi="Basic Roman" w:cs="Basic Roman"/>
              </w:rPr>
              <w:t>Fernandes</w:t>
            </w:r>
            <w:proofErr w:type="spellEnd"/>
          </w:p>
          <w:p w:rsidR="00D33466" w:rsidRDefault="00D33466" w:rsidP="00D33466">
            <w:pPr>
              <w:spacing w:after="0" w:line="240" w:lineRule="auto"/>
              <w:rPr>
                <w:rFonts w:ascii="Basic Roman" w:eastAsia="Basic Roman" w:hAnsi="Basic Roman" w:cs="Basic Roman"/>
              </w:rPr>
            </w:pPr>
          </w:p>
        </w:tc>
        <w:tc>
          <w:tcPr>
            <w:tcW w:w="3367" w:type="dxa"/>
            <w:tcBorders>
              <w:top w:val="single" w:sz="4" w:space="0" w:color="000000"/>
              <w:left w:val="single" w:sz="4" w:space="0" w:color="000000"/>
              <w:bottom w:val="single" w:sz="4" w:space="0" w:color="000000"/>
              <w:right w:val="single" w:sz="4" w:space="0" w:color="000000"/>
            </w:tcBorders>
          </w:tcPr>
          <w:p w:rsidR="00D33466" w:rsidRDefault="00D33466" w:rsidP="00D33466">
            <w:pPr>
              <w:spacing w:after="0" w:line="240" w:lineRule="auto"/>
              <w:rPr>
                <w:rFonts w:ascii="Basic Roman" w:eastAsia="Basic Roman" w:hAnsi="Basic Roman" w:cs="Basic Roman"/>
              </w:rPr>
            </w:pPr>
            <w:r>
              <w:rPr>
                <w:rFonts w:ascii="Basic Roman" w:eastAsia="Basic Roman" w:hAnsi="Basic Roman" w:cs="Basic Roman"/>
                <w:b/>
              </w:rPr>
              <w:t>Training grade/post</w:t>
            </w:r>
            <w:r>
              <w:rPr>
                <w:rFonts w:ascii="Basic Roman" w:eastAsia="Basic Roman" w:hAnsi="Basic Roman" w:cs="Basic Roman"/>
              </w:rPr>
              <w:t xml:space="preserve">: Trust grade </w:t>
            </w:r>
          </w:p>
        </w:tc>
      </w:tr>
      <w:tr w:rsidR="00D33466" w:rsidTr="00D33466">
        <w:tc>
          <w:tcPr>
            <w:tcW w:w="8545" w:type="dxa"/>
            <w:gridSpan w:val="2"/>
            <w:tcBorders>
              <w:top w:val="single" w:sz="4" w:space="0" w:color="000000"/>
              <w:left w:val="single" w:sz="4" w:space="0" w:color="000000"/>
              <w:bottom w:val="single" w:sz="4" w:space="0" w:color="000000"/>
              <w:right w:val="single" w:sz="4" w:space="0" w:color="000000"/>
            </w:tcBorders>
          </w:tcPr>
          <w:p w:rsidR="00D33466" w:rsidRDefault="00D33466" w:rsidP="00D33466">
            <w:pPr>
              <w:spacing w:after="0" w:line="240" w:lineRule="auto"/>
              <w:rPr>
                <w:rFonts w:ascii="Basic Roman" w:eastAsia="Basic Roman" w:hAnsi="Basic Roman" w:cs="Basic Roman"/>
              </w:rPr>
            </w:pPr>
            <w:r>
              <w:rPr>
                <w:rFonts w:ascii="Basic Roman" w:eastAsia="Basic Roman" w:hAnsi="Basic Roman" w:cs="Basic Roman"/>
                <w:b/>
              </w:rPr>
              <w:t>Institution</w:t>
            </w:r>
            <w:r>
              <w:rPr>
                <w:rFonts w:ascii="Basic Roman" w:eastAsia="Basic Roman" w:hAnsi="Basic Roman" w:cs="Basic Roman"/>
              </w:rPr>
              <w:t>: South Tyneside and Sunderland NHS Foundation Trust</w:t>
            </w:r>
          </w:p>
          <w:p w:rsidR="00D33466" w:rsidRDefault="00D33466" w:rsidP="00D33466">
            <w:pPr>
              <w:spacing w:after="0" w:line="240" w:lineRule="auto"/>
              <w:rPr>
                <w:rFonts w:ascii="Basic Roman" w:eastAsia="Basic Roman" w:hAnsi="Basic Roman" w:cs="Basic Roman"/>
              </w:rPr>
            </w:pPr>
          </w:p>
          <w:p w:rsidR="00EC2E3B" w:rsidRDefault="00EC2E3B" w:rsidP="00D33466">
            <w:pPr>
              <w:spacing w:after="0" w:line="240" w:lineRule="auto"/>
              <w:rPr>
                <w:rFonts w:ascii="Basic Roman" w:eastAsia="Basic Roman" w:hAnsi="Basic Roman" w:cs="Basic Roman"/>
              </w:rPr>
            </w:pPr>
          </w:p>
        </w:tc>
      </w:tr>
      <w:tr w:rsidR="00D33466" w:rsidTr="00D33466">
        <w:tc>
          <w:tcPr>
            <w:tcW w:w="8545" w:type="dxa"/>
            <w:gridSpan w:val="2"/>
            <w:tcBorders>
              <w:top w:val="single" w:sz="4" w:space="0" w:color="000000"/>
              <w:left w:val="single" w:sz="4" w:space="0" w:color="000000"/>
              <w:bottom w:val="single" w:sz="4" w:space="0" w:color="000000"/>
              <w:right w:val="single" w:sz="4" w:space="0" w:color="000000"/>
            </w:tcBorders>
          </w:tcPr>
          <w:p w:rsidR="00D33466" w:rsidRDefault="00D33466" w:rsidP="00D33466">
            <w:pPr>
              <w:spacing w:after="0" w:line="240" w:lineRule="auto"/>
              <w:rPr>
                <w:rFonts w:ascii="Basic Roman" w:eastAsia="Basic Roman" w:hAnsi="Basic Roman" w:cs="Basic Roman"/>
              </w:rPr>
            </w:pPr>
            <w:r>
              <w:rPr>
                <w:rFonts w:ascii="Basic Roman" w:eastAsia="Basic Roman" w:hAnsi="Basic Roman" w:cs="Basic Roman"/>
                <w:b/>
              </w:rPr>
              <w:t>Title of Presentation</w:t>
            </w:r>
            <w:r>
              <w:rPr>
                <w:rFonts w:ascii="Basic Roman" w:eastAsia="Basic Roman" w:hAnsi="Basic Roman" w:cs="Basic Roman"/>
              </w:rPr>
              <w:t>:</w:t>
            </w:r>
          </w:p>
          <w:p w:rsidR="00D33466" w:rsidRDefault="00D33466" w:rsidP="00D33466">
            <w:pPr>
              <w:spacing w:after="0" w:line="240" w:lineRule="auto"/>
              <w:rPr>
                <w:rFonts w:ascii="Basic Roman" w:eastAsia="Basic Roman" w:hAnsi="Basic Roman" w:cs="Basic Roman"/>
                <w:color w:val="333333"/>
                <w:kern w:val="1"/>
                <w:lang w:eastAsia="zh-CN"/>
              </w:rPr>
            </w:pPr>
            <w:r>
              <w:rPr>
                <w:rFonts w:ascii="Basic Roman" w:eastAsia="Basic Roman" w:hAnsi="Basic Roman" w:cs="Basic Roman"/>
                <w:color w:val="333333"/>
                <w:kern w:val="1"/>
                <w:lang w:eastAsia="zh-CN"/>
              </w:rPr>
              <w:t>Are we compliant in staging penile cancer patients: a regional analysis to adjuncts in staging penile cancer</w:t>
            </w:r>
          </w:p>
        </w:tc>
      </w:tr>
      <w:tr w:rsidR="00D33466" w:rsidTr="00D33466">
        <w:tc>
          <w:tcPr>
            <w:tcW w:w="8545" w:type="dxa"/>
            <w:gridSpan w:val="2"/>
            <w:tcBorders>
              <w:top w:val="single" w:sz="4" w:space="0" w:color="000000"/>
              <w:left w:val="single" w:sz="4" w:space="0" w:color="000000"/>
              <w:bottom w:val="single" w:sz="4" w:space="0" w:color="000000"/>
              <w:right w:val="single" w:sz="4" w:space="0" w:color="000000"/>
            </w:tcBorders>
          </w:tcPr>
          <w:p w:rsidR="00D33466" w:rsidRDefault="00D33466" w:rsidP="00D33466">
            <w:pPr>
              <w:spacing w:after="0" w:line="240" w:lineRule="auto"/>
              <w:rPr>
                <w:rFonts w:ascii="Basic Roman" w:eastAsia="Basic Roman" w:hAnsi="Basic Roman" w:cs="Basic Roman"/>
              </w:rPr>
            </w:pPr>
            <w:proofErr w:type="spellStart"/>
            <w:r>
              <w:rPr>
                <w:rFonts w:ascii="Basic Roman" w:eastAsia="Basic Roman" w:hAnsi="Basic Roman" w:cs="Basic Roman"/>
                <w:b/>
              </w:rPr>
              <w:t>Authors</w:t>
            </w:r>
            <w:r>
              <w:rPr>
                <w:rFonts w:ascii="Basic Roman" w:eastAsia="Basic Roman" w:hAnsi="Basic Roman" w:cs="Basic Roman"/>
              </w:rPr>
              <w:t>:R</w:t>
            </w:r>
            <w:proofErr w:type="spellEnd"/>
            <w:r>
              <w:rPr>
                <w:rFonts w:ascii="Basic Roman" w:eastAsia="Basic Roman" w:hAnsi="Basic Roman" w:cs="Basic Roman"/>
              </w:rPr>
              <w:t>. Fernandes, M. Mubarak, L. McGuinness, P. Keegan</w:t>
            </w:r>
          </w:p>
          <w:p w:rsidR="00D33466" w:rsidRDefault="00D33466" w:rsidP="00D33466">
            <w:pPr>
              <w:spacing w:after="0" w:line="240" w:lineRule="auto"/>
              <w:rPr>
                <w:rFonts w:ascii="Basic Roman" w:eastAsia="Basic Roman" w:hAnsi="Basic Roman" w:cs="Basic Roman"/>
              </w:rPr>
            </w:pPr>
          </w:p>
          <w:p w:rsidR="00D33466" w:rsidRDefault="00D33466" w:rsidP="00D33466">
            <w:pPr>
              <w:spacing w:after="0" w:line="240" w:lineRule="auto"/>
              <w:rPr>
                <w:rFonts w:ascii="Basic Roman" w:eastAsia="Basic Roman" w:hAnsi="Basic Roman" w:cs="Basic Roman"/>
              </w:rPr>
            </w:pPr>
          </w:p>
        </w:tc>
      </w:tr>
      <w:tr w:rsidR="00D33466" w:rsidTr="00D33466">
        <w:tc>
          <w:tcPr>
            <w:tcW w:w="8545" w:type="dxa"/>
            <w:gridSpan w:val="2"/>
            <w:tcBorders>
              <w:top w:val="single" w:sz="4" w:space="0" w:color="000000"/>
              <w:left w:val="single" w:sz="4" w:space="0" w:color="000000"/>
              <w:bottom w:val="single" w:sz="4" w:space="0" w:color="000000"/>
              <w:right w:val="single" w:sz="4" w:space="0" w:color="000000"/>
            </w:tcBorders>
            <w:shd w:val="solid" w:color="D9D9D9" w:fill="auto"/>
          </w:tcPr>
          <w:p w:rsidR="00D33466" w:rsidRDefault="00D33466" w:rsidP="00D33466">
            <w:pPr>
              <w:spacing w:after="0" w:line="240" w:lineRule="auto"/>
              <w:rPr>
                <w:rFonts w:ascii="Basic Roman" w:eastAsia="Basic Roman" w:hAnsi="Basic Roman" w:cs="Basic Roman"/>
                <w:color w:val="000000"/>
              </w:rPr>
            </w:pPr>
            <w:r>
              <w:rPr>
                <w:rFonts w:ascii="Basic Roman" w:eastAsia="Basic Roman" w:hAnsi="Basic Roman" w:cs="Basic Roman"/>
                <w:b/>
                <w:color w:val="000000"/>
              </w:rPr>
              <w:t>Aims</w:t>
            </w:r>
            <w:r>
              <w:rPr>
                <w:rFonts w:ascii="Basic Roman" w:eastAsia="Basic Roman" w:hAnsi="Basic Roman" w:cs="Basic Roman"/>
                <w:color w:val="000000"/>
              </w:rPr>
              <w:t>: To assess the effectiveness of combining Ultrasound (US) and Fine Needle Aspiration Cytology (FNAC) for accurate nodal staging (cN0) and to determine the incidence of false negatives (FN) and recurrences.</w:t>
            </w:r>
          </w:p>
          <w:p w:rsidR="00EC2E3B" w:rsidRDefault="00EC2E3B" w:rsidP="00D33466">
            <w:pPr>
              <w:spacing w:after="0" w:line="240" w:lineRule="auto"/>
              <w:rPr>
                <w:rFonts w:ascii="Basic Roman" w:eastAsia="Basic Roman" w:hAnsi="Basic Roman" w:cs="Basic Roman"/>
                <w:color w:val="000000"/>
              </w:rPr>
            </w:pPr>
          </w:p>
        </w:tc>
      </w:tr>
      <w:tr w:rsidR="00D33466" w:rsidTr="00D33466">
        <w:tc>
          <w:tcPr>
            <w:tcW w:w="8545" w:type="dxa"/>
            <w:gridSpan w:val="2"/>
            <w:tcBorders>
              <w:top w:val="single" w:sz="4" w:space="0" w:color="000000"/>
              <w:left w:val="single" w:sz="4" w:space="0" w:color="000000"/>
              <w:bottom w:val="single" w:sz="4" w:space="0" w:color="000000"/>
              <w:right w:val="single" w:sz="4" w:space="0" w:color="000000"/>
            </w:tcBorders>
            <w:shd w:val="solid" w:color="D9D9D9" w:fill="auto"/>
          </w:tcPr>
          <w:p w:rsidR="00D33466" w:rsidRDefault="00D33466" w:rsidP="00D33466">
            <w:pPr>
              <w:spacing w:after="0" w:line="240" w:lineRule="auto"/>
              <w:rPr>
                <w:rFonts w:ascii="Basic Roman" w:eastAsia="Basic Roman" w:hAnsi="Basic Roman" w:cs="Basic Roman"/>
                <w:color w:val="000000"/>
                <w:kern w:val="1"/>
                <w:lang w:eastAsia="zh-CN"/>
              </w:rPr>
            </w:pPr>
            <w:r>
              <w:rPr>
                <w:rFonts w:ascii="Basic Roman" w:eastAsia="Basic Roman" w:hAnsi="Basic Roman" w:cs="Basic Roman"/>
                <w:b/>
                <w:color w:val="000000"/>
              </w:rPr>
              <w:t>Methods</w:t>
            </w:r>
            <w:r>
              <w:rPr>
                <w:rFonts w:ascii="Basic Roman" w:eastAsia="Basic Roman" w:hAnsi="Basic Roman" w:cs="Basic Roman"/>
                <w:color w:val="000000"/>
              </w:rPr>
              <w:t>:</w:t>
            </w:r>
            <w:r>
              <w:rPr>
                <w:rFonts w:ascii="Basic Roman" w:eastAsia="Basic Roman" w:hAnsi="Basic Roman" w:cs="Basic Roman"/>
                <w:color w:val="000000"/>
                <w:kern w:val="1"/>
                <w:lang w:eastAsia="zh-CN"/>
              </w:rPr>
              <w:t xml:space="preserve"> A retrospective analysis was conducted using electronic datasets of patients who underwent US plus FNAC prior to Dynamic Sentinel Lymph Node Biopsies (DSNB) at South Tyneside &amp; Sunderland NHS Foundation Trust. Patients with clinically positive groin nodes (cN1) were excluded from the study. Key outcomes included FNAC results, DSNB histology, false negative rates (FNR), and recurrence data. Statistical analysis was performed using SPSS version 29, with a p-value of &lt; 0.05 considered significant.</w:t>
            </w:r>
          </w:p>
          <w:p w:rsidR="00EC2E3B" w:rsidRDefault="00EC2E3B" w:rsidP="00D33466">
            <w:pPr>
              <w:spacing w:after="0" w:line="240" w:lineRule="auto"/>
              <w:rPr>
                <w:rFonts w:ascii="Basic Roman" w:eastAsia="Basic Roman" w:hAnsi="Basic Roman" w:cs="Basic Roman"/>
                <w:color w:val="000000"/>
                <w:kern w:val="1"/>
                <w:lang w:eastAsia="zh-CN"/>
              </w:rPr>
            </w:pPr>
          </w:p>
          <w:p w:rsidR="00EC2E3B" w:rsidRDefault="00EC2E3B" w:rsidP="00D33466">
            <w:pPr>
              <w:spacing w:after="0" w:line="240" w:lineRule="auto"/>
              <w:rPr>
                <w:rFonts w:ascii="Basic Roman" w:eastAsia="Basic Roman" w:hAnsi="Basic Roman" w:cs="Basic Roman"/>
                <w:color w:val="000000"/>
                <w:kern w:val="1"/>
                <w:lang w:eastAsia="zh-CN"/>
              </w:rPr>
            </w:pPr>
          </w:p>
        </w:tc>
      </w:tr>
      <w:tr w:rsidR="00D33466" w:rsidTr="00D33466">
        <w:tc>
          <w:tcPr>
            <w:tcW w:w="8545" w:type="dxa"/>
            <w:gridSpan w:val="2"/>
            <w:tcBorders>
              <w:top w:val="single" w:sz="4" w:space="0" w:color="000000"/>
              <w:left w:val="single" w:sz="4" w:space="0" w:color="000000"/>
              <w:bottom w:val="single" w:sz="4" w:space="0" w:color="000000"/>
              <w:right w:val="single" w:sz="4" w:space="0" w:color="000000"/>
            </w:tcBorders>
            <w:shd w:val="solid" w:color="D9D9D9" w:fill="auto"/>
          </w:tcPr>
          <w:p w:rsidR="00D33466" w:rsidRDefault="00D33466" w:rsidP="00D33466">
            <w:pPr>
              <w:spacing w:after="0" w:line="240" w:lineRule="auto"/>
              <w:rPr>
                <w:rFonts w:ascii="Basic Roman" w:eastAsia="Basic Roman" w:hAnsi="Basic Roman" w:cs="Basic Roman"/>
                <w:color w:val="000000"/>
                <w:kern w:val="1"/>
                <w:lang w:eastAsia="zh-CN"/>
              </w:rPr>
            </w:pPr>
            <w:r>
              <w:rPr>
                <w:rFonts w:ascii="Basic Roman" w:eastAsia="Basic Roman" w:hAnsi="Basic Roman" w:cs="Basic Roman"/>
                <w:b/>
                <w:color w:val="000000"/>
              </w:rPr>
              <w:t>Results</w:t>
            </w:r>
            <w:r>
              <w:rPr>
                <w:rFonts w:ascii="Basic Roman" w:eastAsia="Basic Roman" w:hAnsi="Basic Roman" w:cs="Basic Roman"/>
                <w:color w:val="000000"/>
              </w:rPr>
              <w:t xml:space="preserve">: </w:t>
            </w:r>
            <w:r>
              <w:rPr>
                <w:rFonts w:ascii="Basic Roman" w:eastAsia="Basic Roman" w:hAnsi="Basic Roman" w:cs="Basic Roman"/>
                <w:color w:val="000000"/>
                <w:kern w:val="1"/>
                <w:lang w:eastAsia="zh-CN"/>
              </w:rPr>
              <w:t xml:space="preserve">Between May 2016 and November 2023, 250 DSNB procedures were performed on 142 patients. The majority of groin biopsy </w:t>
            </w:r>
            <w:proofErr w:type="spellStart"/>
            <w:r>
              <w:rPr>
                <w:rFonts w:ascii="Basic Roman" w:eastAsia="Basic Roman" w:hAnsi="Basic Roman" w:cs="Basic Roman"/>
                <w:color w:val="000000"/>
                <w:kern w:val="1"/>
                <w:lang w:eastAsia="zh-CN"/>
              </w:rPr>
              <w:t>histologies</w:t>
            </w:r>
            <w:proofErr w:type="spellEnd"/>
            <w:r>
              <w:rPr>
                <w:rFonts w:ascii="Basic Roman" w:eastAsia="Basic Roman" w:hAnsi="Basic Roman" w:cs="Basic Roman"/>
                <w:color w:val="000000"/>
                <w:kern w:val="1"/>
                <w:lang w:eastAsia="zh-CN"/>
              </w:rPr>
              <w:t xml:space="preserve"> were negative (pN0) (n = 206), yielding a false negative rate of 2.9% (n = 6). US scans were conducted on 210 groins, and 63 of these underwent FNAC. Among those, 7 FNACs were classified as C4-C5 cytology, with 2 later confirmed as false negatives. In addition, 4 patients who had US without FNAC were subsequently found to have false negatives. All patients were followed up clinically, with false negatives identified either through clinical examination or cross-sectional imaging, with an equal distribution between the two methods.</w:t>
            </w:r>
          </w:p>
          <w:p w:rsidR="00EC2E3B" w:rsidRDefault="00EC2E3B" w:rsidP="00D33466">
            <w:pPr>
              <w:spacing w:after="0" w:line="240" w:lineRule="auto"/>
              <w:rPr>
                <w:rFonts w:ascii="Basic Roman" w:eastAsia="Basic Roman" w:hAnsi="Basic Roman" w:cs="Basic Roman"/>
                <w:color w:val="000000"/>
                <w:kern w:val="1"/>
                <w:lang w:eastAsia="zh-CN"/>
              </w:rPr>
            </w:pPr>
          </w:p>
          <w:p w:rsidR="00EC2E3B" w:rsidRDefault="00EC2E3B" w:rsidP="00D33466">
            <w:pPr>
              <w:spacing w:after="0" w:line="240" w:lineRule="auto"/>
              <w:rPr>
                <w:rFonts w:ascii="Basic Roman" w:eastAsia="Basic Roman" w:hAnsi="Basic Roman" w:cs="Basic Roman"/>
                <w:color w:val="000000"/>
                <w:kern w:val="1"/>
                <w:lang w:eastAsia="zh-CN"/>
              </w:rPr>
            </w:pPr>
          </w:p>
        </w:tc>
      </w:tr>
      <w:tr w:rsidR="00D33466" w:rsidTr="00D33466">
        <w:tc>
          <w:tcPr>
            <w:tcW w:w="8545" w:type="dxa"/>
            <w:gridSpan w:val="2"/>
            <w:tcBorders>
              <w:top w:val="single" w:sz="4" w:space="0" w:color="000000"/>
              <w:left w:val="single" w:sz="4" w:space="0" w:color="000000"/>
              <w:bottom w:val="single" w:sz="4" w:space="0" w:color="000000"/>
              <w:right w:val="single" w:sz="4" w:space="0" w:color="000000"/>
            </w:tcBorders>
            <w:shd w:val="solid" w:color="D9D9D9" w:fill="auto"/>
          </w:tcPr>
          <w:p w:rsidR="00D33466" w:rsidRDefault="00D33466" w:rsidP="00D33466">
            <w:pPr>
              <w:spacing w:after="0" w:line="240" w:lineRule="auto"/>
              <w:rPr>
                <w:rFonts w:ascii="Basic Roman" w:eastAsia="Basic Roman" w:hAnsi="Basic Roman" w:cs="Basic Roman"/>
                <w:color w:val="000000"/>
                <w:kern w:val="1"/>
                <w:lang w:eastAsia="zh-CN"/>
              </w:rPr>
            </w:pPr>
            <w:r>
              <w:rPr>
                <w:rFonts w:ascii="Basic Roman" w:eastAsia="Basic Roman" w:hAnsi="Basic Roman" w:cs="Basic Roman"/>
                <w:b/>
                <w:color w:val="000000"/>
              </w:rPr>
              <w:t>Conclusion</w:t>
            </w:r>
            <w:r>
              <w:rPr>
                <w:rFonts w:ascii="Basic Roman" w:eastAsia="Basic Roman" w:hAnsi="Basic Roman" w:cs="Basic Roman"/>
                <w:color w:val="000000"/>
              </w:rPr>
              <w:t xml:space="preserve">: </w:t>
            </w:r>
            <w:r>
              <w:rPr>
                <w:rFonts w:ascii="Basic Roman" w:eastAsia="Basic Roman" w:hAnsi="Basic Roman" w:cs="Basic Roman"/>
                <w:color w:val="000000"/>
                <w:kern w:val="1"/>
                <w:lang w:eastAsia="zh-CN"/>
              </w:rPr>
              <w:t>Our centre demonstrates a lower false negative rate compared to reported figures in the literature. The integration of US with FNAC prior to DSNB improves staging accuracy by identifying additional patients at risk, thereby reducing the incidence of false negatives.</w:t>
            </w:r>
          </w:p>
          <w:p w:rsidR="00EC2E3B" w:rsidRDefault="00EC2E3B" w:rsidP="00D33466">
            <w:pPr>
              <w:spacing w:after="0" w:line="240" w:lineRule="auto"/>
              <w:rPr>
                <w:rFonts w:ascii="Basic Roman" w:eastAsia="Basic Roman" w:hAnsi="Basic Roman" w:cs="Basic Roman"/>
                <w:color w:val="000000"/>
                <w:kern w:val="1"/>
                <w:lang w:eastAsia="zh-CN"/>
              </w:rPr>
            </w:pPr>
          </w:p>
          <w:p w:rsidR="00EC2E3B" w:rsidRDefault="00EC2E3B" w:rsidP="00D33466">
            <w:pPr>
              <w:spacing w:after="0" w:line="240" w:lineRule="auto"/>
              <w:rPr>
                <w:rFonts w:ascii="Basic Roman" w:eastAsia="Basic Roman" w:hAnsi="Basic Roman" w:cs="Basic Roman"/>
                <w:color w:val="000000"/>
                <w:kern w:val="1"/>
                <w:lang w:eastAsia="zh-CN"/>
              </w:rPr>
            </w:pPr>
          </w:p>
        </w:tc>
      </w:tr>
    </w:tbl>
    <w:p w:rsidR="00D33466" w:rsidRDefault="00D33466" w:rsidP="00D33466"/>
    <w:p w:rsidR="00D33466" w:rsidRDefault="00D33466" w:rsidP="00D33466"/>
    <w:p w:rsidR="00D33466" w:rsidRDefault="00D33466" w:rsidP="00D33466"/>
    <w:p w:rsidR="00D33466" w:rsidRDefault="00D33466" w:rsidP="00D33466"/>
    <w:p w:rsidR="00D33466" w:rsidRDefault="00D33466" w:rsidP="00D33466"/>
    <w:p w:rsidR="00D33466" w:rsidRDefault="00D33466" w:rsidP="00D33466"/>
    <w:p w:rsidR="00D33466" w:rsidRDefault="00D33466" w:rsidP="00D33466"/>
    <w:p w:rsidR="00D33466" w:rsidRDefault="00D33466" w:rsidP="00D334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0"/>
        <w:gridCol w:w="283"/>
        <w:gridCol w:w="3077"/>
        <w:gridCol w:w="456"/>
      </w:tblGrid>
      <w:tr w:rsidR="00D33466" w:rsidTr="00D33466">
        <w:tc>
          <w:tcPr>
            <w:tcW w:w="5483" w:type="dxa"/>
            <w:gridSpan w:val="2"/>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pPr>
            <w:r>
              <w:rPr>
                <w:b/>
              </w:rPr>
              <w:t>Name of Presenter</w:t>
            </w:r>
            <w:r>
              <w:t>: Rebecca Hall &amp; Sir John Burn</w:t>
            </w:r>
          </w:p>
          <w:p w:rsidR="00D33466" w:rsidRDefault="00D33466" w:rsidP="00D33466">
            <w:pPr>
              <w:spacing w:after="0" w:line="240" w:lineRule="auto"/>
              <w:rPr>
                <w:rFonts w:cs="Times New Roman"/>
              </w:rPr>
            </w:pPr>
          </w:p>
        </w:tc>
        <w:tc>
          <w:tcPr>
            <w:tcW w:w="3533" w:type="dxa"/>
            <w:gridSpan w:val="2"/>
            <w:tcBorders>
              <w:top w:val="single" w:sz="4" w:space="0" w:color="auto"/>
              <w:left w:val="single" w:sz="4" w:space="0" w:color="auto"/>
              <w:bottom w:val="single" w:sz="4" w:space="0" w:color="auto"/>
              <w:right w:val="single" w:sz="4" w:space="0" w:color="auto"/>
            </w:tcBorders>
            <w:hideMark/>
          </w:tcPr>
          <w:p w:rsidR="00D33466" w:rsidRDefault="00D33466" w:rsidP="00D33466">
            <w:pPr>
              <w:spacing w:after="0" w:line="240" w:lineRule="auto"/>
              <w:rPr>
                <w:rFonts w:cs="Times New Roman"/>
              </w:rPr>
            </w:pPr>
            <w:r>
              <w:rPr>
                <w:b/>
              </w:rPr>
              <w:t>Training grade/post</w:t>
            </w:r>
            <w:r>
              <w:t>: Clinical research associate/Prof of Clinical Genetics</w:t>
            </w:r>
          </w:p>
        </w:tc>
      </w:tr>
      <w:tr w:rsidR="00D33466" w:rsidTr="00D33466">
        <w:tc>
          <w:tcPr>
            <w:tcW w:w="9016" w:type="dxa"/>
            <w:gridSpan w:val="4"/>
            <w:tcBorders>
              <w:top w:val="single" w:sz="4" w:space="0" w:color="auto"/>
              <w:left w:val="single" w:sz="4" w:space="0" w:color="auto"/>
              <w:bottom w:val="single" w:sz="4" w:space="0" w:color="auto"/>
              <w:right w:val="single" w:sz="4" w:space="0" w:color="auto"/>
            </w:tcBorders>
          </w:tcPr>
          <w:p w:rsidR="00D33466" w:rsidRPr="000E0532" w:rsidRDefault="00D33466" w:rsidP="00D33466">
            <w:r>
              <w:rPr>
                <w:b/>
              </w:rPr>
              <w:t>Institution</w:t>
            </w:r>
            <w:r>
              <w:t>: Newcastle University Translational and Research Institute &amp; The Newcastle upon Tyne Hospitals NHS Foundation Trust</w:t>
            </w:r>
          </w:p>
        </w:tc>
      </w:tr>
      <w:tr w:rsidR="00D33466" w:rsidTr="00D33466">
        <w:trPr>
          <w:trHeight w:val="938"/>
        </w:trPr>
        <w:tc>
          <w:tcPr>
            <w:tcW w:w="9016" w:type="dxa"/>
            <w:gridSpan w:val="4"/>
            <w:tcBorders>
              <w:top w:val="single" w:sz="4" w:space="0" w:color="auto"/>
              <w:left w:val="single" w:sz="4" w:space="0" w:color="auto"/>
              <w:bottom w:val="single" w:sz="4" w:space="0" w:color="auto"/>
              <w:right w:val="single" w:sz="4" w:space="0" w:color="auto"/>
            </w:tcBorders>
          </w:tcPr>
          <w:p w:rsidR="00D33466" w:rsidRDefault="00D33466" w:rsidP="00D33466">
            <w:pPr>
              <w:spacing w:after="0" w:line="240" w:lineRule="auto"/>
            </w:pPr>
            <w:r>
              <w:rPr>
                <w:b/>
              </w:rPr>
              <w:t>Title of Presentation</w:t>
            </w:r>
            <w:r>
              <w:t>:</w:t>
            </w:r>
          </w:p>
          <w:p w:rsidR="00D33466" w:rsidRPr="00E8139B" w:rsidRDefault="00D33466" w:rsidP="00D33466">
            <w:r>
              <w:t>Prospective mismatch repair deficiency screening of Upper tract urothelial carcinomas using urine and tumour microsatellite instability analysis</w:t>
            </w:r>
          </w:p>
        </w:tc>
      </w:tr>
      <w:tr w:rsidR="00D33466" w:rsidTr="00D33466">
        <w:tc>
          <w:tcPr>
            <w:tcW w:w="9016" w:type="dxa"/>
            <w:gridSpan w:val="4"/>
            <w:tcBorders>
              <w:top w:val="single" w:sz="4" w:space="0" w:color="auto"/>
              <w:left w:val="single" w:sz="4" w:space="0" w:color="auto"/>
              <w:bottom w:val="single" w:sz="4" w:space="0" w:color="auto"/>
              <w:right w:val="single" w:sz="4" w:space="0" w:color="auto"/>
            </w:tcBorders>
          </w:tcPr>
          <w:p w:rsidR="00D33466" w:rsidRPr="000E0532" w:rsidRDefault="00D33466" w:rsidP="00D33466">
            <w:r>
              <w:rPr>
                <w:b/>
              </w:rPr>
              <w:t>Authors</w:t>
            </w:r>
            <w:r>
              <w:t xml:space="preserve">: Rebecca Hall, Christine Hayes, Rachel Phelps, Arjun Nambiar, Bhavan Rai, Mary Ferrier, Donna Job, Patricia Herrero, Ruth Wake, Mauro </w:t>
            </w:r>
            <w:proofErr w:type="spellStart"/>
            <w:r>
              <w:t>Santibanez</w:t>
            </w:r>
            <w:proofErr w:type="spellEnd"/>
            <w:r>
              <w:t xml:space="preserve"> </w:t>
            </w:r>
            <w:proofErr w:type="spellStart"/>
            <w:r>
              <w:t>Koref</w:t>
            </w:r>
            <w:proofErr w:type="spellEnd"/>
            <w:r>
              <w:t>, Michael Jackson, Ciaron McAnulty, Richard Gallon, John Burn</w:t>
            </w:r>
          </w:p>
        </w:tc>
      </w:tr>
      <w:tr w:rsidR="00D33466" w:rsidTr="00D33466">
        <w:tc>
          <w:tcPr>
            <w:tcW w:w="9016" w:type="dxa"/>
            <w:gridSpan w:val="4"/>
            <w:tcBorders>
              <w:top w:val="single" w:sz="4" w:space="0" w:color="auto"/>
              <w:left w:val="single" w:sz="4" w:space="0" w:color="auto"/>
              <w:bottom w:val="single" w:sz="4" w:space="0" w:color="auto"/>
              <w:right w:val="single" w:sz="4" w:space="0" w:color="auto"/>
            </w:tcBorders>
            <w:shd w:val="clear" w:color="auto" w:fill="D9D9D9"/>
          </w:tcPr>
          <w:p w:rsidR="00D33466" w:rsidRPr="00E8139B" w:rsidRDefault="00D33466" w:rsidP="00D33466">
            <w:pPr>
              <w:spacing w:after="0" w:line="240" w:lineRule="auto"/>
              <w:rPr>
                <w:sz w:val="20"/>
                <w:szCs w:val="20"/>
              </w:rPr>
            </w:pPr>
            <w:r w:rsidRPr="00E8139B">
              <w:rPr>
                <w:b/>
                <w:sz w:val="20"/>
                <w:szCs w:val="20"/>
              </w:rPr>
              <w:t>Aims</w:t>
            </w:r>
            <w:r w:rsidRPr="00E8139B">
              <w:rPr>
                <w:sz w:val="20"/>
                <w:szCs w:val="20"/>
              </w:rPr>
              <w:t xml:space="preserve">: </w:t>
            </w:r>
          </w:p>
          <w:p w:rsidR="00D33466" w:rsidRDefault="00D33466" w:rsidP="00D33466">
            <w:pPr>
              <w:pStyle w:val="ListParagraph"/>
              <w:numPr>
                <w:ilvl w:val="0"/>
                <w:numId w:val="3"/>
              </w:numPr>
              <w:rPr>
                <w:rFonts w:cs="Times New Roman"/>
                <w:sz w:val="20"/>
                <w:szCs w:val="20"/>
              </w:rPr>
            </w:pPr>
            <w:r>
              <w:rPr>
                <w:rFonts w:cs="Times New Roman"/>
                <w:sz w:val="20"/>
                <w:szCs w:val="20"/>
              </w:rPr>
              <w:t>To enhance the detection and clinical management of microsatellite unstable urothelial cancers</w:t>
            </w:r>
          </w:p>
          <w:p w:rsidR="00EC2E3B" w:rsidRPr="00E8139B" w:rsidRDefault="00EC2E3B" w:rsidP="00D33466">
            <w:pPr>
              <w:pStyle w:val="ListParagraph"/>
              <w:numPr>
                <w:ilvl w:val="0"/>
                <w:numId w:val="3"/>
              </w:numPr>
              <w:rPr>
                <w:rFonts w:cs="Times New Roman"/>
                <w:sz w:val="20"/>
                <w:szCs w:val="20"/>
              </w:rPr>
            </w:pPr>
          </w:p>
        </w:tc>
      </w:tr>
      <w:tr w:rsidR="00D33466" w:rsidTr="00D33466">
        <w:trPr>
          <w:trHeight w:val="2105"/>
        </w:trPr>
        <w:tc>
          <w:tcPr>
            <w:tcW w:w="9016" w:type="dxa"/>
            <w:gridSpan w:val="4"/>
            <w:tcBorders>
              <w:top w:val="single" w:sz="4" w:space="0" w:color="auto"/>
              <w:left w:val="single" w:sz="4" w:space="0" w:color="auto"/>
              <w:bottom w:val="single" w:sz="4" w:space="0" w:color="auto"/>
              <w:right w:val="single" w:sz="4" w:space="0" w:color="auto"/>
            </w:tcBorders>
            <w:shd w:val="clear" w:color="auto" w:fill="D9D9D9"/>
          </w:tcPr>
          <w:p w:rsidR="00D33466" w:rsidRPr="00E8139B" w:rsidRDefault="00D33466" w:rsidP="00D33466">
            <w:pPr>
              <w:spacing w:after="0" w:line="240" w:lineRule="auto"/>
              <w:rPr>
                <w:sz w:val="20"/>
                <w:szCs w:val="20"/>
              </w:rPr>
            </w:pPr>
            <w:r w:rsidRPr="00E8139B">
              <w:rPr>
                <w:b/>
                <w:sz w:val="20"/>
                <w:szCs w:val="20"/>
              </w:rPr>
              <w:t>Methods</w:t>
            </w:r>
            <w:r w:rsidRPr="00E8139B">
              <w:rPr>
                <w:sz w:val="20"/>
                <w:szCs w:val="20"/>
              </w:rPr>
              <w:t>:</w:t>
            </w:r>
          </w:p>
          <w:p w:rsidR="00D33466" w:rsidRDefault="00D33466" w:rsidP="00D33466">
            <w:pPr>
              <w:pStyle w:val="ListParagraph"/>
              <w:numPr>
                <w:ilvl w:val="0"/>
                <w:numId w:val="4"/>
              </w:numPr>
              <w:rPr>
                <w:sz w:val="20"/>
                <w:szCs w:val="20"/>
              </w:rPr>
            </w:pPr>
            <w:r w:rsidRPr="00611103">
              <w:rPr>
                <w:sz w:val="20"/>
                <w:szCs w:val="20"/>
              </w:rPr>
              <w:t xml:space="preserve">142 MSH2 Lynch syndrome carriers were offered postal urine testing. </w:t>
            </w:r>
          </w:p>
          <w:p w:rsidR="00D33466" w:rsidRPr="00611103" w:rsidRDefault="00D33466" w:rsidP="00D33466">
            <w:pPr>
              <w:pStyle w:val="ListParagraph"/>
              <w:numPr>
                <w:ilvl w:val="0"/>
                <w:numId w:val="4"/>
              </w:numPr>
              <w:rPr>
                <w:sz w:val="20"/>
                <w:szCs w:val="20"/>
              </w:rPr>
            </w:pPr>
            <w:r w:rsidRPr="00611103">
              <w:rPr>
                <w:sz w:val="20"/>
                <w:szCs w:val="20"/>
              </w:rPr>
              <w:t>We collected pre-operative urine and resected tumour samples from all patients undergoing a nephroureterectomy for UTUC at the Freeman Hospital since December 2022. Samples were analysed for mismatch repair deficiency (</w:t>
            </w:r>
            <w:proofErr w:type="spellStart"/>
            <w:r w:rsidRPr="00611103">
              <w:rPr>
                <w:sz w:val="20"/>
                <w:szCs w:val="20"/>
              </w:rPr>
              <w:t>MMRd</w:t>
            </w:r>
            <w:proofErr w:type="spellEnd"/>
            <w:r w:rsidRPr="00611103">
              <w:rPr>
                <w:sz w:val="20"/>
                <w:szCs w:val="20"/>
              </w:rPr>
              <w:t>) using the Newcastle MSI-plus assay (Gallon et al 2024 PMID</w:t>
            </w:r>
            <w:r w:rsidRPr="005A50A9">
              <w:t> </w:t>
            </w:r>
            <w:r w:rsidRPr="00611103">
              <w:rPr>
                <w:sz w:val="20"/>
                <w:szCs w:val="20"/>
              </w:rPr>
              <w:t xml:space="preserve">38962168). Patients with an MSI high signal in their tumour or urine were referred for germline LS testing. </w:t>
            </w:r>
          </w:p>
        </w:tc>
      </w:tr>
      <w:tr w:rsidR="00D33466" w:rsidTr="00D33466">
        <w:tc>
          <w:tcPr>
            <w:tcW w:w="9016" w:type="dxa"/>
            <w:gridSpan w:val="4"/>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rPr>
                <w:sz w:val="20"/>
                <w:szCs w:val="20"/>
              </w:rPr>
            </w:pPr>
            <w:r w:rsidRPr="00E8139B">
              <w:rPr>
                <w:b/>
                <w:sz w:val="20"/>
                <w:szCs w:val="20"/>
              </w:rPr>
              <w:t>Results</w:t>
            </w:r>
            <w:r w:rsidRPr="00E8139B">
              <w:rPr>
                <w:sz w:val="20"/>
                <w:szCs w:val="20"/>
              </w:rPr>
              <w:t xml:space="preserve">: </w:t>
            </w:r>
            <w:r>
              <w:rPr>
                <w:sz w:val="20"/>
                <w:szCs w:val="20"/>
              </w:rPr>
              <w:t>84/142 MSH2 carriers complied.  5 were found to have urothelial cancer. In two of these, postop urine testing detected cancer missed at operation. Two were cured endoscopically.</w:t>
            </w:r>
          </w:p>
          <w:p w:rsidR="00D33466" w:rsidRDefault="00D33466" w:rsidP="00D33466">
            <w:pPr>
              <w:rPr>
                <w:sz w:val="20"/>
                <w:szCs w:val="20"/>
              </w:rPr>
            </w:pPr>
            <w:r>
              <w:rPr>
                <w:sz w:val="20"/>
                <w:szCs w:val="20"/>
              </w:rPr>
              <w:t>We</w:t>
            </w:r>
            <w:r w:rsidRPr="00E8139B">
              <w:rPr>
                <w:sz w:val="20"/>
                <w:szCs w:val="20"/>
              </w:rPr>
              <w:t xml:space="preserve"> have completed paired urine and tumour analysis for 48 </w:t>
            </w:r>
            <w:r>
              <w:rPr>
                <w:sz w:val="20"/>
                <w:szCs w:val="20"/>
              </w:rPr>
              <w:t>incident UTUCs</w:t>
            </w:r>
            <w:r w:rsidRPr="00E8139B">
              <w:rPr>
                <w:sz w:val="20"/>
                <w:szCs w:val="20"/>
              </w:rPr>
              <w:t xml:space="preserve">, detecting mismatch repair deficiency in 3/48 (6.25%) of samples. A diagnosis of Lynch syndrome has been </w:t>
            </w:r>
            <w:r>
              <w:rPr>
                <w:sz w:val="20"/>
                <w:szCs w:val="20"/>
              </w:rPr>
              <w:t xml:space="preserve">made </w:t>
            </w:r>
            <w:r w:rsidRPr="00E8139B">
              <w:rPr>
                <w:sz w:val="20"/>
                <w:szCs w:val="20"/>
              </w:rPr>
              <w:t xml:space="preserve">in 2/3 cases, with referral ongoing for the remaining case. </w:t>
            </w:r>
            <w:r>
              <w:rPr>
                <w:sz w:val="20"/>
                <w:szCs w:val="20"/>
              </w:rPr>
              <w:t>Specificity and sensitivity of MSI testing were 100% in this series.</w:t>
            </w:r>
            <w:r w:rsidRPr="00E8139B">
              <w:rPr>
                <w:sz w:val="20"/>
                <w:szCs w:val="20"/>
              </w:rPr>
              <w:t xml:space="preserve"> </w:t>
            </w:r>
          </w:p>
          <w:p w:rsidR="00EC2E3B" w:rsidRPr="00E8139B" w:rsidRDefault="00EC2E3B" w:rsidP="00D33466">
            <w:pPr>
              <w:rPr>
                <w:sz w:val="20"/>
                <w:szCs w:val="20"/>
              </w:rPr>
            </w:pPr>
          </w:p>
        </w:tc>
      </w:tr>
      <w:tr w:rsidR="00D33466" w:rsidTr="00D33466">
        <w:tc>
          <w:tcPr>
            <w:tcW w:w="9016" w:type="dxa"/>
            <w:gridSpan w:val="4"/>
            <w:tcBorders>
              <w:top w:val="single" w:sz="4" w:space="0" w:color="auto"/>
              <w:left w:val="single" w:sz="4" w:space="0" w:color="auto"/>
              <w:bottom w:val="single" w:sz="4" w:space="0" w:color="auto"/>
              <w:right w:val="single" w:sz="4" w:space="0" w:color="auto"/>
            </w:tcBorders>
            <w:shd w:val="clear" w:color="auto" w:fill="D9D9D9"/>
          </w:tcPr>
          <w:p w:rsidR="00D33466" w:rsidRDefault="00D33466" w:rsidP="00D33466">
            <w:pPr>
              <w:spacing w:after="0" w:line="240" w:lineRule="auto"/>
            </w:pPr>
            <w:r>
              <w:rPr>
                <w:b/>
              </w:rPr>
              <w:t>Conclusion</w:t>
            </w:r>
            <w:r>
              <w:t>:</w:t>
            </w:r>
          </w:p>
          <w:p w:rsidR="00D33466" w:rsidRPr="00EC2E3B" w:rsidRDefault="00D33466" w:rsidP="00EC2E3B">
            <w:r w:rsidRPr="00611103">
              <w:rPr>
                <w:sz w:val="20"/>
                <w:szCs w:val="20"/>
              </w:rPr>
              <w:t>We have established a local pathway for Lynch syndrome screening of UTUC cases which we now seek to make routine practice across the region. The performance of the urine test would enable tumour mismatch repair deficiency screening to take place without an invasive procedure, allowing the MMR status of a tumour to be available to the multidisciplinary team earlier in a patient’s cancer pathway. Given curative use of immune checkpoint</w:t>
            </w:r>
            <w:r>
              <w:t xml:space="preserve"> </w:t>
            </w:r>
            <w:r w:rsidRPr="00611103">
              <w:rPr>
                <w:sz w:val="20"/>
                <w:szCs w:val="20"/>
              </w:rPr>
              <w:t>inhibitors in rectal cancers (</w:t>
            </w:r>
            <w:proofErr w:type="spellStart"/>
            <w:r w:rsidRPr="00611103">
              <w:rPr>
                <w:sz w:val="20"/>
                <w:szCs w:val="20"/>
              </w:rPr>
              <w:t>Cercek</w:t>
            </w:r>
            <w:proofErr w:type="spellEnd"/>
            <w:r w:rsidRPr="00611103">
              <w:rPr>
                <w:sz w:val="20"/>
                <w:szCs w:val="20"/>
              </w:rPr>
              <w:t xml:space="preserve"> A NEJM 2022</w:t>
            </w:r>
            <w:proofErr w:type="gramStart"/>
            <w:r>
              <w:rPr>
                <w:sz w:val="20"/>
                <w:szCs w:val="20"/>
              </w:rPr>
              <w:t>)</w:t>
            </w:r>
            <w:r w:rsidRPr="00611103">
              <w:rPr>
                <w:sz w:val="20"/>
                <w:szCs w:val="20"/>
              </w:rPr>
              <w:t xml:space="preserve"> </w:t>
            </w:r>
            <w:r>
              <w:rPr>
                <w:sz w:val="20"/>
                <w:szCs w:val="20"/>
              </w:rPr>
              <w:t>)</w:t>
            </w:r>
            <w:proofErr w:type="gramEnd"/>
            <w:r w:rsidRPr="00611103">
              <w:rPr>
                <w:sz w:val="20"/>
                <w:szCs w:val="20"/>
              </w:rPr>
              <w:t>PMID: 35660797), ICI treatment of MSI UTUCs can then be explored.</w:t>
            </w:r>
          </w:p>
          <w:p w:rsidR="00EC2E3B" w:rsidRDefault="00EC2E3B" w:rsidP="00D33466">
            <w:pPr>
              <w:spacing w:after="0" w:line="240" w:lineRule="auto"/>
              <w:rPr>
                <w:rFonts w:cs="Times New Roman"/>
              </w:rPr>
            </w:pPr>
          </w:p>
          <w:p w:rsidR="00EC2E3B" w:rsidRDefault="00EC2E3B" w:rsidP="00D33466">
            <w:pPr>
              <w:spacing w:after="0" w:line="240" w:lineRule="auto"/>
              <w:rPr>
                <w:rFonts w:cs="Times New Roman"/>
              </w:rPr>
            </w:pPr>
          </w:p>
          <w:p w:rsidR="00EC2E3B" w:rsidRDefault="00EC2E3B" w:rsidP="00D33466">
            <w:pPr>
              <w:spacing w:after="0" w:line="240" w:lineRule="auto"/>
              <w:rPr>
                <w:rFonts w:cs="Times New Roman"/>
              </w:rPr>
            </w:pPr>
          </w:p>
          <w:p w:rsidR="00EC2E3B" w:rsidRDefault="00EC2E3B" w:rsidP="00D33466">
            <w:pPr>
              <w:spacing w:after="0" w:line="240" w:lineRule="auto"/>
              <w:rPr>
                <w:rFonts w:cs="Times New Roman"/>
              </w:rPr>
            </w:pPr>
          </w:p>
          <w:p w:rsidR="00EC2E3B" w:rsidRDefault="00EC2E3B" w:rsidP="00D33466">
            <w:pPr>
              <w:spacing w:after="0" w:line="240" w:lineRule="auto"/>
              <w:rPr>
                <w:rFonts w:cs="Times New Roman"/>
              </w:rPr>
            </w:pPr>
          </w:p>
        </w:tc>
      </w:tr>
      <w:tr w:rsidR="00D33466" w:rsidTr="00D334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1"/>
          <w:wAfter w:w="456" w:type="dxa"/>
        </w:trPr>
        <w:tc>
          <w:tcPr>
            <w:tcW w:w="5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3466" w:rsidRPr="00EC2E3B" w:rsidRDefault="00D33466" w:rsidP="00D33466">
            <w:pPr>
              <w:spacing w:after="0" w:line="240" w:lineRule="auto"/>
              <w:rPr>
                <w:rFonts w:ascii="Arial" w:hAnsi="Arial" w:cs="Arial"/>
              </w:rPr>
            </w:pPr>
            <w:r w:rsidRPr="00EC2E3B">
              <w:rPr>
                <w:rFonts w:ascii="Arial" w:hAnsi="Arial" w:cs="Arial"/>
                <w:b/>
                <w:vertAlign w:val="subscript"/>
              </w:rPr>
              <w:t>Name of Presenter</w:t>
            </w:r>
            <w:r w:rsidRPr="00EC2E3B">
              <w:rPr>
                <w:rFonts w:ascii="Arial" w:hAnsi="Arial" w:cs="Arial"/>
                <w:vertAlign w:val="subscript"/>
              </w:rPr>
              <w:t>:</w:t>
            </w:r>
          </w:p>
          <w:p w:rsidR="00D33466" w:rsidRPr="00EC2E3B" w:rsidRDefault="00D33466" w:rsidP="00D33466">
            <w:pPr>
              <w:spacing w:after="0" w:line="240" w:lineRule="auto"/>
              <w:rPr>
                <w:rFonts w:ascii="Arial" w:hAnsi="Arial" w:cs="Arial"/>
                <w:vertAlign w:val="subscript"/>
              </w:rPr>
            </w:pPr>
            <w:r w:rsidRPr="00EC2E3B">
              <w:rPr>
                <w:rFonts w:ascii="Arial" w:hAnsi="Arial" w:cs="Arial"/>
                <w:vertAlign w:val="subscript"/>
              </w:rPr>
              <w:t>Stefanie Croghan</w:t>
            </w:r>
          </w:p>
        </w:tc>
        <w:tc>
          <w:tcPr>
            <w:tcW w:w="33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3466" w:rsidRPr="00EC2E3B" w:rsidRDefault="00D33466" w:rsidP="00D33466">
            <w:pPr>
              <w:spacing w:after="0" w:line="240" w:lineRule="auto"/>
              <w:rPr>
                <w:rFonts w:ascii="Arial" w:hAnsi="Arial" w:cs="Arial"/>
              </w:rPr>
            </w:pPr>
            <w:r w:rsidRPr="00EC2E3B">
              <w:rPr>
                <w:rFonts w:ascii="Arial" w:hAnsi="Arial" w:cs="Arial"/>
                <w:b/>
                <w:vertAlign w:val="subscript"/>
              </w:rPr>
              <w:t>Training grade/post</w:t>
            </w:r>
            <w:r w:rsidRPr="00EC2E3B">
              <w:rPr>
                <w:rFonts w:ascii="Arial" w:hAnsi="Arial" w:cs="Arial"/>
                <w:vertAlign w:val="subscript"/>
              </w:rPr>
              <w:t xml:space="preserve">: Endourology Fellow </w:t>
            </w:r>
          </w:p>
        </w:tc>
      </w:tr>
      <w:tr w:rsidR="00D33466" w:rsidTr="00D334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1"/>
          <w:wAfter w:w="456" w:type="dxa"/>
        </w:trPr>
        <w:tc>
          <w:tcPr>
            <w:tcW w:w="85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3466" w:rsidRPr="00EC2E3B" w:rsidRDefault="00D33466" w:rsidP="00D33466">
            <w:pPr>
              <w:spacing w:after="0" w:line="240" w:lineRule="auto"/>
              <w:rPr>
                <w:rFonts w:ascii="Arial" w:hAnsi="Arial" w:cs="Arial"/>
              </w:rPr>
            </w:pPr>
            <w:r w:rsidRPr="00EC2E3B">
              <w:rPr>
                <w:rFonts w:ascii="Arial" w:hAnsi="Arial" w:cs="Arial"/>
                <w:b/>
                <w:vertAlign w:val="subscript"/>
              </w:rPr>
              <w:t>Institution</w:t>
            </w:r>
            <w:r w:rsidRPr="00EC2E3B">
              <w:rPr>
                <w:rFonts w:ascii="Arial" w:hAnsi="Arial" w:cs="Arial"/>
                <w:vertAlign w:val="subscript"/>
              </w:rPr>
              <w:t>:</w:t>
            </w:r>
          </w:p>
          <w:p w:rsidR="00D33466" w:rsidRPr="00EC2E3B" w:rsidRDefault="00D33466" w:rsidP="00D33466">
            <w:pPr>
              <w:spacing w:after="0" w:line="240" w:lineRule="auto"/>
              <w:rPr>
                <w:rFonts w:ascii="Arial" w:hAnsi="Arial" w:cs="Arial"/>
                <w:vertAlign w:val="subscript"/>
              </w:rPr>
            </w:pPr>
            <w:r w:rsidRPr="00EC2E3B">
              <w:rPr>
                <w:rFonts w:ascii="Arial" w:hAnsi="Arial" w:cs="Arial"/>
                <w:vertAlign w:val="subscript"/>
              </w:rPr>
              <w:t>Freeman Hospital, Newcastle upon Tyne Hospitals</w:t>
            </w:r>
          </w:p>
        </w:tc>
      </w:tr>
      <w:tr w:rsidR="00D33466" w:rsidTr="00D334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1"/>
          <w:wAfter w:w="456" w:type="dxa"/>
        </w:trPr>
        <w:tc>
          <w:tcPr>
            <w:tcW w:w="85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3466" w:rsidRPr="00EC2E3B" w:rsidRDefault="00D33466" w:rsidP="00D33466">
            <w:pPr>
              <w:spacing w:after="0" w:line="240" w:lineRule="auto"/>
              <w:rPr>
                <w:rFonts w:ascii="Arial" w:hAnsi="Arial" w:cs="Arial"/>
              </w:rPr>
            </w:pPr>
            <w:r w:rsidRPr="00EC2E3B">
              <w:rPr>
                <w:rFonts w:ascii="Arial" w:hAnsi="Arial" w:cs="Arial"/>
                <w:b/>
                <w:vertAlign w:val="subscript"/>
              </w:rPr>
              <w:t>Title of Presentation</w:t>
            </w:r>
            <w:r w:rsidRPr="00EC2E3B">
              <w:rPr>
                <w:rFonts w:ascii="Arial" w:hAnsi="Arial" w:cs="Arial"/>
                <w:vertAlign w:val="subscript"/>
              </w:rPr>
              <w:t>:</w:t>
            </w:r>
          </w:p>
          <w:p w:rsidR="00D33466" w:rsidRPr="00EC2E3B" w:rsidRDefault="00D33466" w:rsidP="00D33466">
            <w:pPr>
              <w:rPr>
                <w:rFonts w:ascii="Arial" w:hAnsi="Arial" w:cs="Arial"/>
                <w:lang w:val="en-US"/>
              </w:rPr>
            </w:pPr>
            <w:r w:rsidRPr="00EC2E3B">
              <w:rPr>
                <w:rFonts w:ascii="Arial" w:hAnsi="Arial" w:cs="Arial"/>
                <w:lang w:val="en-US"/>
              </w:rPr>
              <w:t>Survey on perioperative anticoagulation management for endourological benign prostatic obstruction and urolithiasis operations among British urologists</w:t>
            </w:r>
          </w:p>
          <w:p w:rsidR="00D33466" w:rsidRPr="00EC2E3B" w:rsidRDefault="00D33466" w:rsidP="00D33466">
            <w:pPr>
              <w:spacing w:after="0" w:line="240" w:lineRule="auto"/>
              <w:rPr>
                <w:rFonts w:ascii="Arial" w:hAnsi="Arial" w:cs="Arial"/>
                <w:vertAlign w:val="subscript"/>
              </w:rPr>
            </w:pPr>
          </w:p>
        </w:tc>
      </w:tr>
      <w:tr w:rsidR="00D33466" w:rsidTr="00D334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1"/>
          <w:wAfter w:w="456" w:type="dxa"/>
        </w:trPr>
        <w:tc>
          <w:tcPr>
            <w:tcW w:w="85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33466" w:rsidRPr="00EC2E3B" w:rsidRDefault="00D33466" w:rsidP="00D33466">
            <w:pPr>
              <w:spacing w:after="0" w:line="240" w:lineRule="auto"/>
              <w:rPr>
                <w:rFonts w:ascii="Arial" w:hAnsi="Arial" w:cs="Arial"/>
              </w:rPr>
            </w:pPr>
            <w:r w:rsidRPr="00EC2E3B">
              <w:rPr>
                <w:rFonts w:ascii="Arial" w:hAnsi="Arial" w:cs="Arial"/>
                <w:b/>
                <w:vertAlign w:val="subscript"/>
              </w:rPr>
              <w:t>Authors</w:t>
            </w:r>
            <w:r w:rsidRPr="00EC2E3B">
              <w:rPr>
                <w:rFonts w:ascii="Arial" w:hAnsi="Arial" w:cs="Arial"/>
                <w:vertAlign w:val="subscript"/>
              </w:rPr>
              <w:t>:</w:t>
            </w:r>
          </w:p>
          <w:p w:rsidR="00D33466" w:rsidRPr="00EC2E3B" w:rsidRDefault="00D33466" w:rsidP="00D33466">
            <w:pPr>
              <w:spacing w:after="0" w:line="240" w:lineRule="auto"/>
              <w:rPr>
                <w:rFonts w:ascii="Arial" w:hAnsi="Arial" w:cs="Arial"/>
              </w:rPr>
            </w:pPr>
            <w:r w:rsidRPr="00EC2E3B">
              <w:rPr>
                <w:rFonts w:ascii="Arial" w:hAnsi="Arial" w:cs="Arial"/>
                <w:vertAlign w:val="subscript"/>
                <w:lang w:val="de-CH"/>
              </w:rPr>
              <w:t>S. Croghan, C. Schregel, A. Luk, T. Dorkin, D. Rix, D. Thomas, J. Fitzpatrick, M. Shaw, T. Page, A. Rogers</w:t>
            </w:r>
          </w:p>
          <w:p w:rsidR="00D33466" w:rsidRPr="00EC2E3B" w:rsidRDefault="00D33466" w:rsidP="00D33466">
            <w:pPr>
              <w:spacing w:after="0" w:line="240" w:lineRule="auto"/>
              <w:rPr>
                <w:rFonts w:ascii="Arial" w:hAnsi="Arial" w:cs="Arial"/>
                <w:vertAlign w:val="subscript"/>
                <w:lang w:val="de-CH"/>
              </w:rPr>
            </w:pPr>
          </w:p>
        </w:tc>
      </w:tr>
      <w:tr w:rsidR="00D33466" w:rsidTr="00D334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1"/>
          <w:wAfter w:w="456" w:type="dxa"/>
        </w:trPr>
        <w:tc>
          <w:tcPr>
            <w:tcW w:w="8560"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D33466" w:rsidRPr="00EC2E3B" w:rsidRDefault="00D33466" w:rsidP="00D33466">
            <w:pPr>
              <w:spacing w:after="0" w:line="240" w:lineRule="auto"/>
              <w:rPr>
                <w:rFonts w:ascii="Arial" w:hAnsi="Arial" w:cs="Arial"/>
              </w:rPr>
            </w:pPr>
            <w:r w:rsidRPr="00EC2E3B">
              <w:rPr>
                <w:rFonts w:ascii="Arial" w:hAnsi="Arial" w:cs="Arial"/>
                <w:b/>
                <w:vertAlign w:val="subscript"/>
              </w:rPr>
              <w:t>Aims</w:t>
            </w:r>
            <w:r w:rsidRPr="00EC2E3B">
              <w:rPr>
                <w:rFonts w:ascii="Arial" w:hAnsi="Arial" w:cs="Arial"/>
                <w:vertAlign w:val="subscript"/>
              </w:rPr>
              <w:t>:</w:t>
            </w:r>
          </w:p>
          <w:p w:rsidR="00D33466" w:rsidRPr="00EC2E3B" w:rsidRDefault="00D33466" w:rsidP="00D33466">
            <w:pPr>
              <w:autoSpaceDE w:val="0"/>
              <w:rPr>
                <w:rFonts w:ascii="Arial" w:hAnsi="Arial" w:cs="Arial"/>
              </w:rPr>
            </w:pPr>
            <w:r w:rsidRPr="00EC2E3B">
              <w:rPr>
                <w:rFonts w:ascii="Arial" w:hAnsi="Arial" w:cs="Arial"/>
                <w:vertAlign w:val="subscript"/>
                <w:lang w:val="en-US"/>
              </w:rPr>
              <w:t>Operations for the treatment of benign prostatic obstruction (BPO) and urolithiasis are among the most common urological procedures. In an ageing population, anticoagulation use is increasingly prevalent. Since most guidelines on perioperative anticoagulation management do not specifically address BPO and stone surgery, and clinical practice is inconsistent, we aimed to investigate the treatment patterns among British urologists.</w:t>
            </w:r>
          </w:p>
          <w:p w:rsidR="00D33466" w:rsidRPr="00EC2E3B" w:rsidRDefault="00D33466" w:rsidP="00D33466">
            <w:pPr>
              <w:spacing w:after="0" w:line="240" w:lineRule="auto"/>
              <w:rPr>
                <w:rFonts w:ascii="Arial" w:hAnsi="Arial" w:cs="Arial"/>
                <w:vertAlign w:val="subscript"/>
              </w:rPr>
            </w:pPr>
          </w:p>
        </w:tc>
      </w:tr>
      <w:tr w:rsidR="00D33466" w:rsidTr="00D334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1"/>
          <w:wAfter w:w="456" w:type="dxa"/>
        </w:trPr>
        <w:tc>
          <w:tcPr>
            <w:tcW w:w="8560"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D33466" w:rsidRPr="00EC2E3B" w:rsidRDefault="00D33466" w:rsidP="00D33466">
            <w:pPr>
              <w:spacing w:after="0" w:line="240" w:lineRule="auto"/>
              <w:rPr>
                <w:rFonts w:ascii="Arial" w:hAnsi="Arial" w:cs="Arial"/>
              </w:rPr>
            </w:pPr>
            <w:r w:rsidRPr="00EC2E3B">
              <w:rPr>
                <w:rFonts w:ascii="Arial" w:hAnsi="Arial" w:cs="Arial"/>
                <w:b/>
                <w:vertAlign w:val="subscript"/>
              </w:rPr>
              <w:t>Methods</w:t>
            </w:r>
            <w:r w:rsidRPr="00EC2E3B">
              <w:rPr>
                <w:rFonts w:ascii="Arial" w:hAnsi="Arial" w:cs="Arial"/>
                <w:vertAlign w:val="subscript"/>
              </w:rPr>
              <w:t>:</w:t>
            </w:r>
          </w:p>
          <w:p w:rsidR="00D33466" w:rsidRPr="00EC2E3B" w:rsidRDefault="00D33466" w:rsidP="00D33466">
            <w:pPr>
              <w:autoSpaceDE w:val="0"/>
              <w:rPr>
                <w:rFonts w:ascii="Arial" w:hAnsi="Arial" w:cs="Arial"/>
              </w:rPr>
            </w:pPr>
            <w:r w:rsidRPr="00EC2E3B">
              <w:rPr>
                <w:rFonts w:ascii="Arial" w:hAnsi="Arial" w:cs="Arial"/>
                <w:vertAlign w:val="subscript"/>
                <w:lang w:val="en-US"/>
              </w:rPr>
              <w:t xml:space="preserve">We designed two questionnaires, including procedure-specific and scenario-based questions to assess the perioperative management of acetylsalicylic acid (ASA), vitamin K antagonists, direct oral anticoagulants (DOACs), and novel platelet inhibitors before different BPO surgeries (TUR-P, </w:t>
            </w:r>
            <w:proofErr w:type="spellStart"/>
            <w:r w:rsidRPr="00EC2E3B">
              <w:rPr>
                <w:rFonts w:ascii="Arial" w:hAnsi="Arial" w:cs="Arial"/>
                <w:vertAlign w:val="subscript"/>
                <w:lang w:val="en-US"/>
              </w:rPr>
              <w:t>HoLEP</w:t>
            </w:r>
            <w:proofErr w:type="spellEnd"/>
            <w:r w:rsidRPr="00EC2E3B">
              <w:rPr>
                <w:rFonts w:ascii="Arial" w:hAnsi="Arial" w:cs="Arial"/>
                <w:vertAlign w:val="subscript"/>
                <w:lang w:val="en-US"/>
              </w:rPr>
              <w:t xml:space="preserve">, </w:t>
            </w:r>
            <w:proofErr w:type="spellStart"/>
            <w:r w:rsidRPr="00EC2E3B">
              <w:rPr>
                <w:rFonts w:ascii="Arial" w:hAnsi="Arial" w:cs="Arial"/>
                <w:vertAlign w:val="subscript"/>
                <w:lang w:val="en-US"/>
              </w:rPr>
              <w:t>GreenLight</w:t>
            </w:r>
            <w:proofErr w:type="spellEnd"/>
            <w:r w:rsidRPr="00EC2E3B">
              <w:rPr>
                <w:rFonts w:ascii="Arial" w:hAnsi="Arial" w:cs="Arial"/>
                <w:vertAlign w:val="subscript"/>
                <w:lang w:val="en-US"/>
              </w:rPr>
              <w:t xml:space="preserve"> laser </w:t>
            </w:r>
            <w:proofErr w:type="spellStart"/>
            <w:r w:rsidRPr="00EC2E3B">
              <w:rPr>
                <w:rFonts w:ascii="Arial" w:hAnsi="Arial" w:cs="Arial"/>
                <w:vertAlign w:val="subscript"/>
                <w:lang w:val="en-US"/>
              </w:rPr>
              <w:t>vapourisation</w:t>
            </w:r>
            <w:proofErr w:type="spellEnd"/>
            <w:r w:rsidRPr="00EC2E3B">
              <w:rPr>
                <w:rFonts w:ascii="Arial" w:hAnsi="Arial" w:cs="Arial"/>
                <w:vertAlign w:val="subscript"/>
                <w:lang w:val="en-US"/>
              </w:rPr>
              <w:t xml:space="preserve">, </w:t>
            </w:r>
            <w:proofErr w:type="spellStart"/>
            <w:r w:rsidRPr="00EC2E3B">
              <w:rPr>
                <w:rFonts w:ascii="Arial" w:hAnsi="Arial" w:cs="Arial"/>
                <w:vertAlign w:val="subscript"/>
                <w:lang w:val="en-US"/>
              </w:rPr>
              <w:t>Aquaablation</w:t>
            </w:r>
            <w:proofErr w:type="spellEnd"/>
            <w:r w:rsidRPr="00EC2E3B">
              <w:rPr>
                <w:rFonts w:ascii="Arial" w:hAnsi="Arial" w:cs="Arial"/>
                <w:vertAlign w:val="subscript"/>
                <w:lang w:val="en-US"/>
              </w:rPr>
              <w:t xml:space="preserve">, and minimally invasive surgical therapies (MIST)), as well as stone treatment procedures (lithotripsy, ureteroscopy and PCNL). The survey was internally validated and distributed via WhatsApp groups of British urologists performing </w:t>
            </w:r>
            <w:proofErr w:type="spellStart"/>
            <w:r w:rsidRPr="00EC2E3B">
              <w:rPr>
                <w:rFonts w:ascii="Arial" w:hAnsi="Arial" w:cs="Arial"/>
                <w:vertAlign w:val="subscript"/>
                <w:lang w:val="en-US"/>
              </w:rPr>
              <w:t>HoLEP</w:t>
            </w:r>
            <w:proofErr w:type="spellEnd"/>
            <w:r w:rsidRPr="00EC2E3B">
              <w:rPr>
                <w:rFonts w:ascii="Arial" w:hAnsi="Arial" w:cs="Arial"/>
                <w:vertAlign w:val="subscript"/>
                <w:lang w:val="en-US"/>
              </w:rPr>
              <w:t>. or endourology procedures. Microsoft Forms was used for distribution, response collection, and basic statistical analysis.</w:t>
            </w:r>
          </w:p>
          <w:p w:rsidR="00D33466" w:rsidRPr="00EC2E3B" w:rsidRDefault="00D33466" w:rsidP="00D33466">
            <w:pPr>
              <w:spacing w:after="0" w:line="240" w:lineRule="auto"/>
              <w:rPr>
                <w:rFonts w:ascii="Arial" w:hAnsi="Arial" w:cs="Arial"/>
                <w:vertAlign w:val="subscript"/>
              </w:rPr>
            </w:pPr>
          </w:p>
        </w:tc>
      </w:tr>
      <w:tr w:rsidR="00D33466" w:rsidTr="00D334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1"/>
          <w:wAfter w:w="456" w:type="dxa"/>
        </w:trPr>
        <w:tc>
          <w:tcPr>
            <w:tcW w:w="8560"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D33466" w:rsidRPr="00EC2E3B" w:rsidRDefault="00D33466" w:rsidP="00D33466">
            <w:pPr>
              <w:spacing w:after="0" w:line="240" w:lineRule="auto"/>
              <w:rPr>
                <w:rFonts w:ascii="Arial" w:hAnsi="Arial" w:cs="Arial"/>
              </w:rPr>
            </w:pPr>
            <w:r w:rsidRPr="00EC2E3B">
              <w:rPr>
                <w:rFonts w:ascii="Arial" w:hAnsi="Arial" w:cs="Arial"/>
                <w:b/>
                <w:vertAlign w:val="subscript"/>
              </w:rPr>
              <w:t>Results</w:t>
            </w:r>
            <w:r w:rsidRPr="00EC2E3B">
              <w:rPr>
                <w:rFonts w:ascii="Arial" w:hAnsi="Arial" w:cs="Arial"/>
                <w:vertAlign w:val="subscript"/>
              </w:rPr>
              <w:t>:</w:t>
            </w:r>
          </w:p>
          <w:p w:rsidR="00D33466" w:rsidRPr="00EC2E3B" w:rsidRDefault="00D33466" w:rsidP="00D33466">
            <w:pPr>
              <w:autoSpaceDE w:val="0"/>
              <w:rPr>
                <w:rFonts w:ascii="Arial" w:hAnsi="Arial" w:cs="Arial"/>
              </w:rPr>
            </w:pPr>
            <w:r w:rsidRPr="00EC2E3B">
              <w:rPr>
                <w:rFonts w:ascii="Arial" w:hAnsi="Arial" w:cs="Arial"/>
                <w:vertAlign w:val="subscript"/>
                <w:lang w:val="en-US"/>
              </w:rPr>
              <w:t xml:space="preserve">The surveys had a response rate of 23% (BPO) and 25.8% (stones). Preoperatively, there was broad consensus not to stop ASS, while DOACs were typically stopped 2-4 days prior, and novel platelet inhibitors were stopped ≥7 days before surgery. The greatest differences in management patterns were observed regarding MISTs. </w:t>
            </w:r>
            <w:r w:rsidRPr="00EC2E3B">
              <w:rPr>
                <w:rFonts w:ascii="Arial" w:hAnsi="Arial" w:cs="Arial"/>
                <w:vertAlign w:val="subscript"/>
              </w:rPr>
              <w:t>Postoperative management responses showed much larger variability in practice, with no consensus.</w:t>
            </w:r>
          </w:p>
          <w:p w:rsidR="00D33466" w:rsidRPr="00EC2E3B" w:rsidRDefault="00D33466" w:rsidP="00D33466">
            <w:pPr>
              <w:spacing w:after="0" w:line="240" w:lineRule="auto"/>
              <w:rPr>
                <w:rFonts w:ascii="Arial" w:hAnsi="Arial" w:cs="Arial"/>
                <w:vertAlign w:val="subscript"/>
              </w:rPr>
            </w:pPr>
          </w:p>
        </w:tc>
      </w:tr>
      <w:tr w:rsidR="00D33466" w:rsidTr="00D334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1"/>
          <w:wAfter w:w="456" w:type="dxa"/>
          <w:trHeight w:val="1018"/>
        </w:trPr>
        <w:tc>
          <w:tcPr>
            <w:tcW w:w="8560"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D33466" w:rsidRPr="00EC2E3B" w:rsidRDefault="00D33466" w:rsidP="00D33466">
            <w:pPr>
              <w:spacing w:after="0" w:line="240" w:lineRule="auto"/>
              <w:rPr>
                <w:rFonts w:ascii="Arial" w:hAnsi="Arial" w:cs="Arial"/>
              </w:rPr>
            </w:pPr>
            <w:r w:rsidRPr="00EC2E3B">
              <w:rPr>
                <w:rFonts w:ascii="Arial" w:hAnsi="Arial" w:cs="Arial"/>
                <w:b/>
                <w:vertAlign w:val="subscript"/>
              </w:rPr>
              <w:t>Conclusion</w:t>
            </w:r>
            <w:r w:rsidRPr="00EC2E3B">
              <w:rPr>
                <w:rFonts w:ascii="Arial" w:hAnsi="Arial" w:cs="Arial"/>
                <w:vertAlign w:val="subscript"/>
              </w:rPr>
              <w:t>:</w:t>
            </w:r>
          </w:p>
          <w:p w:rsidR="00D33466" w:rsidRPr="00EC2E3B" w:rsidRDefault="00D33466" w:rsidP="00D33466">
            <w:pPr>
              <w:rPr>
                <w:rFonts w:ascii="Arial" w:hAnsi="Arial" w:cs="Arial"/>
              </w:rPr>
            </w:pPr>
            <w:r w:rsidRPr="00EC2E3B">
              <w:rPr>
                <w:rFonts w:ascii="Arial" w:hAnsi="Arial" w:cs="Arial"/>
                <w:vertAlign w:val="subscript"/>
                <w:lang w:val="en-US"/>
              </w:rPr>
              <w:t>While preoperative management of ASA and anticoagulation was relatively consistent among participants, significant differences are evident in the postoperative management of anticoagulation in BPO and stone surgery, particularly with MISTs. Given the prevalence of these procedures, further research is needed to clarify their optimal postoperative anticoagulation management.</w:t>
            </w:r>
          </w:p>
          <w:p w:rsidR="00D33466" w:rsidRPr="00EC2E3B" w:rsidRDefault="00D33466" w:rsidP="00D33466">
            <w:pPr>
              <w:spacing w:after="0" w:line="240" w:lineRule="auto"/>
              <w:rPr>
                <w:rFonts w:ascii="Arial" w:hAnsi="Arial" w:cs="Arial"/>
                <w:vertAlign w:val="subscript"/>
                <w:lang w:val="en-US"/>
              </w:rPr>
            </w:pPr>
          </w:p>
          <w:p w:rsidR="00D33466" w:rsidRPr="00EC2E3B" w:rsidRDefault="00D33466" w:rsidP="00D33466">
            <w:pPr>
              <w:spacing w:after="0" w:line="240" w:lineRule="auto"/>
              <w:rPr>
                <w:rFonts w:ascii="Arial" w:hAnsi="Arial" w:cs="Arial"/>
                <w:vertAlign w:val="subscript"/>
              </w:rPr>
            </w:pPr>
          </w:p>
        </w:tc>
      </w:tr>
    </w:tbl>
    <w:p w:rsidR="00D33466" w:rsidRDefault="00D33466" w:rsidP="00D33466"/>
    <w:p w:rsidR="00D33466" w:rsidRDefault="00D33466" w:rsidP="00D33466"/>
    <w:p w:rsidR="00D33466" w:rsidRDefault="00D33466" w:rsidP="00D33466"/>
    <w:p w:rsidR="00D33466" w:rsidRDefault="00D33466" w:rsidP="00D33466"/>
    <w:tbl>
      <w:tblPr>
        <w:tblpPr w:leftFromText="180" w:rightFromText="180" w:vertAnchor="text" w:horzAnchor="margin" w:tblpY="4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8"/>
        <w:gridCol w:w="3367"/>
      </w:tblGrid>
      <w:tr w:rsidR="00AE20D8" w:rsidTr="00CC54BF">
        <w:tc>
          <w:tcPr>
            <w:tcW w:w="5178" w:type="dxa"/>
            <w:tcBorders>
              <w:top w:val="single" w:sz="4" w:space="0" w:color="auto"/>
              <w:left w:val="single" w:sz="4" w:space="0" w:color="auto"/>
              <w:bottom w:val="single" w:sz="4" w:space="0" w:color="auto"/>
              <w:right w:val="single" w:sz="4" w:space="0" w:color="auto"/>
            </w:tcBorders>
          </w:tcPr>
          <w:p w:rsidR="00AE20D8" w:rsidRDefault="00AE20D8" w:rsidP="00CC54BF">
            <w:pPr>
              <w:pStyle w:val="Default"/>
              <w:rPr>
                <w:sz w:val="23"/>
                <w:szCs w:val="23"/>
              </w:rPr>
            </w:pPr>
            <w:r>
              <w:rPr>
                <w:b/>
                <w:bCs/>
                <w:sz w:val="23"/>
                <w:szCs w:val="23"/>
              </w:rPr>
              <w:t xml:space="preserve">Name of Presenter: </w:t>
            </w:r>
          </w:p>
          <w:p w:rsidR="00AE20D8" w:rsidRDefault="00AE20D8" w:rsidP="00CC54BF">
            <w:pPr>
              <w:spacing w:after="0" w:line="240" w:lineRule="auto"/>
              <w:rPr>
                <w:rFonts w:cs="Times New Roman"/>
              </w:rPr>
            </w:pPr>
            <w:proofErr w:type="spellStart"/>
            <w:r>
              <w:rPr>
                <w:sz w:val="23"/>
                <w:szCs w:val="23"/>
              </w:rPr>
              <w:t>Stefanos</w:t>
            </w:r>
            <w:proofErr w:type="spellEnd"/>
            <w:r>
              <w:rPr>
                <w:sz w:val="23"/>
                <w:szCs w:val="23"/>
              </w:rPr>
              <w:t xml:space="preserve"> </w:t>
            </w:r>
            <w:proofErr w:type="spellStart"/>
            <w:r>
              <w:rPr>
                <w:sz w:val="23"/>
                <w:szCs w:val="23"/>
              </w:rPr>
              <w:t>Gkaliamoutsas</w:t>
            </w:r>
            <w:proofErr w:type="spellEnd"/>
            <w:r>
              <w:rPr>
                <w:sz w:val="23"/>
                <w:szCs w:val="23"/>
              </w:rPr>
              <w:t xml:space="preserve"> </w:t>
            </w:r>
          </w:p>
        </w:tc>
        <w:tc>
          <w:tcPr>
            <w:tcW w:w="3367" w:type="dxa"/>
            <w:tcBorders>
              <w:top w:val="single" w:sz="4" w:space="0" w:color="auto"/>
              <w:left w:val="single" w:sz="4" w:space="0" w:color="auto"/>
              <w:bottom w:val="single" w:sz="4" w:space="0" w:color="auto"/>
              <w:right w:val="single" w:sz="4" w:space="0" w:color="auto"/>
            </w:tcBorders>
            <w:hideMark/>
          </w:tcPr>
          <w:p w:rsidR="00AE20D8" w:rsidRDefault="00AE20D8" w:rsidP="00CC54BF">
            <w:pPr>
              <w:pStyle w:val="Default"/>
              <w:rPr>
                <w:sz w:val="22"/>
                <w:szCs w:val="22"/>
              </w:rPr>
            </w:pPr>
            <w:r>
              <w:rPr>
                <w:b/>
                <w:bCs/>
                <w:sz w:val="22"/>
                <w:szCs w:val="22"/>
              </w:rPr>
              <w:t xml:space="preserve">Training grade/post: </w:t>
            </w:r>
          </w:p>
          <w:p w:rsidR="00AE20D8" w:rsidRDefault="00AE20D8" w:rsidP="00CC54BF">
            <w:pPr>
              <w:spacing w:after="0" w:line="240" w:lineRule="auto"/>
              <w:rPr>
                <w:rFonts w:cs="Times New Roman"/>
              </w:rPr>
            </w:pPr>
            <w:r>
              <w:t xml:space="preserve">Senior Clinical Fellow in Urology </w:t>
            </w:r>
          </w:p>
        </w:tc>
      </w:tr>
      <w:tr w:rsidR="00AE20D8" w:rsidTr="00CC54BF">
        <w:tc>
          <w:tcPr>
            <w:tcW w:w="8545" w:type="dxa"/>
            <w:gridSpan w:val="2"/>
            <w:tcBorders>
              <w:top w:val="single" w:sz="4" w:space="0" w:color="auto"/>
              <w:left w:val="single" w:sz="4" w:space="0" w:color="auto"/>
              <w:bottom w:val="single" w:sz="4" w:space="0" w:color="auto"/>
              <w:right w:val="single" w:sz="4" w:space="0" w:color="auto"/>
            </w:tcBorders>
          </w:tcPr>
          <w:p w:rsidR="00AE20D8" w:rsidRDefault="00AE20D8" w:rsidP="00CC54BF">
            <w:pPr>
              <w:spacing w:after="0" w:line="240" w:lineRule="auto"/>
            </w:pPr>
            <w:r>
              <w:rPr>
                <w:b/>
              </w:rPr>
              <w:t>Institution</w:t>
            </w:r>
            <w:r>
              <w:t>:</w:t>
            </w:r>
          </w:p>
          <w:p w:rsidR="00AE20D8" w:rsidRDefault="00AE20D8" w:rsidP="00CC54BF">
            <w:pPr>
              <w:spacing w:after="0" w:line="240" w:lineRule="auto"/>
              <w:rPr>
                <w:rFonts w:cs="Times New Roman"/>
              </w:rPr>
            </w:pPr>
            <w:r>
              <w:rPr>
                <w:sz w:val="23"/>
                <w:szCs w:val="23"/>
              </w:rPr>
              <w:t>Manchester Royal Infirmary</w:t>
            </w:r>
          </w:p>
        </w:tc>
      </w:tr>
      <w:tr w:rsidR="00AE20D8" w:rsidTr="00CC54BF">
        <w:tc>
          <w:tcPr>
            <w:tcW w:w="8545" w:type="dxa"/>
            <w:gridSpan w:val="2"/>
            <w:tcBorders>
              <w:top w:val="single" w:sz="4" w:space="0" w:color="auto"/>
              <w:left w:val="single" w:sz="4" w:space="0" w:color="auto"/>
              <w:bottom w:val="single" w:sz="4" w:space="0" w:color="auto"/>
              <w:right w:val="single" w:sz="4" w:space="0" w:color="auto"/>
            </w:tcBorders>
          </w:tcPr>
          <w:p w:rsidR="00AE20D8" w:rsidRDefault="00AE20D8" w:rsidP="00CC54BF">
            <w:pPr>
              <w:spacing w:after="0" w:line="240" w:lineRule="auto"/>
            </w:pPr>
            <w:r>
              <w:rPr>
                <w:b/>
              </w:rPr>
              <w:t>Title of Presentation</w:t>
            </w:r>
            <w:r>
              <w:t>:</w:t>
            </w:r>
          </w:p>
          <w:p w:rsidR="00AE20D8" w:rsidRDefault="00AE20D8" w:rsidP="00CC54BF">
            <w:pPr>
              <w:spacing w:after="0" w:line="240" w:lineRule="auto"/>
            </w:pPr>
            <w:r>
              <w:rPr>
                <w:sz w:val="23"/>
                <w:szCs w:val="23"/>
              </w:rPr>
              <w:t>To fix or not to fix? Urology resident doctors’ attitudes to orchidopexy in scrotal exploration for suspected testicular torsion.</w:t>
            </w:r>
          </w:p>
          <w:p w:rsidR="00AE20D8" w:rsidRDefault="00AE20D8" w:rsidP="00CC54BF">
            <w:pPr>
              <w:spacing w:after="0" w:line="240" w:lineRule="auto"/>
              <w:rPr>
                <w:rFonts w:cs="Times New Roman"/>
              </w:rPr>
            </w:pPr>
          </w:p>
        </w:tc>
      </w:tr>
      <w:tr w:rsidR="00AE20D8" w:rsidTr="00CC54BF">
        <w:tc>
          <w:tcPr>
            <w:tcW w:w="8545" w:type="dxa"/>
            <w:gridSpan w:val="2"/>
            <w:tcBorders>
              <w:top w:val="single" w:sz="4" w:space="0" w:color="auto"/>
              <w:left w:val="single" w:sz="4" w:space="0" w:color="auto"/>
              <w:bottom w:val="single" w:sz="4" w:space="0" w:color="auto"/>
              <w:right w:val="single" w:sz="4" w:space="0" w:color="auto"/>
            </w:tcBorders>
          </w:tcPr>
          <w:p w:rsidR="00AE20D8" w:rsidRDefault="00AE20D8" w:rsidP="00CC54BF">
            <w:pPr>
              <w:spacing w:after="0" w:line="240" w:lineRule="auto"/>
            </w:pPr>
            <w:r>
              <w:rPr>
                <w:b/>
              </w:rPr>
              <w:t>Authors</w:t>
            </w:r>
            <w:r>
              <w:t>:</w:t>
            </w:r>
          </w:p>
          <w:p w:rsidR="00AE20D8" w:rsidRDefault="00AE20D8" w:rsidP="00CC54BF">
            <w:pPr>
              <w:spacing w:after="0" w:line="240" w:lineRule="auto"/>
            </w:pPr>
            <w:proofErr w:type="spellStart"/>
            <w:r>
              <w:rPr>
                <w:sz w:val="23"/>
                <w:szCs w:val="23"/>
              </w:rPr>
              <w:t>Stefanos</w:t>
            </w:r>
            <w:proofErr w:type="spellEnd"/>
            <w:r>
              <w:rPr>
                <w:sz w:val="23"/>
                <w:szCs w:val="23"/>
              </w:rPr>
              <w:t xml:space="preserve"> </w:t>
            </w:r>
            <w:proofErr w:type="spellStart"/>
            <w:r>
              <w:rPr>
                <w:sz w:val="23"/>
                <w:szCs w:val="23"/>
              </w:rPr>
              <w:t>Gkaliamoutsas</w:t>
            </w:r>
            <w:proofErr w:type="spellEnd"/>
          </w:p>
          <w:p w:rsidR="00AE20D8" w:rsidRDefault="00AE20D8" w:rsidP="00CC54BF">
            <w:pPr>
              <w:spacing w:after="0" w:line="240" w:lineRule="auto"/>
              <w:rPr>
                <w:rFonts w:cs="Times New Roman"/>
              </w:rPr>
            </w:pPr>
          </w:p>
        </w:tc>
      </w:tr>
      <w:tr w:rsidR="00AE20D8" w:rsidTr="00CC54BF">
        <w:tc>
          <w:tcPr>
            <w:tcW w:w="8545" w:type="dxa"/>
            <w:gridSpan w:val="2"/>
            <w:tcBorders>
              <w:top w:val="single" w:sz="4" w:space="0" w:color="auto"/>
              <w:left w:val="single" w:sz="4" w:space="0" w:color="auto"/>
              <w:bottom w:val="single" w:sz="4" w:space="0" w:color="auto"/>
              <w:right w:val="single" w:sz="4" w:space="0" w:color="auto"/>
            </w:tcBorders>
            <w:shd w:val="clear" w:color="auto" w:fill="D9D9D9"/>
          </w:tcPr>
          <w:p w:rsidR="00AE20D8" w:rsidRDefault="00AE20D8" w:rsidP="00CC54BF">
            <w:pPr>
              <w:spacing w:after="0" w:line="240" w:lineRule="auto"/>
            </w:pPr>
            <w:r>
              <w:rPr>
                <w:b/>
              </w:rPr>
              <w:t>Aims</w:t>
            </w:r>
            <w:r>
              <w:t>:</w:t>
            </w:r>
          </w:p>
          <w:p w:rsidR="00AE20D8" w:rsidRDefault="00AE20D8" w:rsidP="00CC54BF">
            <w:pPr>
              <w:spacing w:after="0" w:line="240" w:lineRule="auto"/>
              <w:rPr>
                <w:rFonts w:cs="Times New Roman"/>
              </w:rPr>
            </w:pPr>
            <w:r>
              <w:t>A</w:t>
            </w:r>
            <w:r>
              <w:rPr>
                <w:sz w:val="23"/>
                <w:szCs w:val="23"/>
              </w:rPr>
              <w:t xml:space="preserve"> recent BURST-BAUS consensus document on best practices for scrotal exploration in suspected testicular torsion has provided recommendations regarding the performance of orchidopexy when torsion is not identified. This survey aimed to assess the current practices of Urology resident doctors regarding orchidopexy in such cases.</w:t>
            </w:r>
          </w:p>
        </w:tc>
      </w:tr>
      <w:tr w:rsidR="00AE20D8" w:rsidTr="00CC54BF">
        <w:tc>
          <w:tcPr>
            <w:tcW w:w="8545" w:type="dxa"/>
            <w:gridSpan w:val="2"/>
            <w:tcBorders>
              <w:top w:val="single" w:sz="4" w:space="0" w:color="auto"/>
              <w:left w:val="single" w:sz="4" w:space="0" w:color="auto"/>
              <w:bottom w:val="single" w:sz="4" w:space="0" w:color="auto"/>
              <w:right w:val="single" w:sz="4" w:space="0" w:color="auto"/>
            </w:tcBorders>
            <w:shd w:val="clear" w:color="auto" w:fill="D9D9D9"/>
          </w:tcPr>
          <w:p w:rsidR="00AE20D8" w:rsidRDefault="00AE20D8" w:rsidP="00CC54BF">
            <w:pPr>
              <w:spacing w:after="0" w:line="240" w:lineRule="auto"/>
            </w:pPr>
            <w:r>
              <w:rPr>
                <w:b/>
              </w:rPr>
              <w:t>Methods</w:t>
            </w:r>
            <w:r>
              <w:t>:</w:t>
            </w:r>
          </w:p>
          <w:p w:rsidR="00AE20D8" w:rsidRDefault="00AE20D8" w:rsidP="00CC54BF">
            <w:pPr>
              <w:spacing w:after="0" w:line="240" w:lineRule="auto"/>
              <w:rPr>
                <w:rFonts w:cs="Times New Roman"/>
              </w:rPr>
            </w:pPr>
            <w:r>
              <w:rPr>
                <w:sz w:val="23"/>
                <w:szCs w:val="23"/>
              </w:rPr>
              <w:t xml:space="preserve">An anonymous survey </w:t>
            </w:r>
            <w:proofErr w:type="gramStart"/>
            <w:r>
              <w:rPr>
                <w:sz w:val="23"/>
                <w:szCs w:val="23"/>
              </w:rPr>
              <w:t>was distributed</w:t>
            </w:r>
            <w:proofErr w:type="gramEnd"/>
            <w:r>
              <w:rPr>
                <w:sz w:val="23"/>
                <w:szCs w:val="23"/>
              </w:rPr>
              <w:t xml:space="preserve"> to Urology resident doctors working in North West England, exploring attitudes towards performing orchidopexy when torsion is absent, particularly in cases with Bell clapper deformity, and whether the contralateral testis should be explored and fixed.</w:t>
            </w:r>
          </w:p>
        </w:tc>
      </w:tr>
      <w:tr w:rsidR="00AE20D8" w:rsidTr="00CC54BF">
        <w:tc>
          <w:tcPr>
            <w:tcW w:w="8545" w:type="dxa"/>
            <w:gridSpan w:val="2"/>
            <w:tcBorders>
              <w:top w:val="single" w:sz="4" w:space="0" w:color="auto"/>
              <w:left w:val="single" w:sz="4" w:space="0" w:color="auto"/>
              <w:bottom w:val="single" w:sz="4" w:space="0" w:color="auto"/>
              <w:right w:val="single" w:sz="4" w:space="0" w:color="auto"/>
            </w:tcBorders>
            <w:shd w:val="clear" w:color="auto" w:fill="D9D9D9"/>
          </w:tcPr>
          <w:p w:rsidR="00AE20D8" w:rsidRDefault="00AE20D8" w:rsidP="00CC54BF">
            <w:pPr>
              <w:spacing w:after="0" w:line="240" w:lineRule="auto"/>
            </w:pPr>
            <w:r>
              <w:rPr>
                <w:b/>
              </w:rPr>
              <w:t>Results</w:t>
            </w:r>
            <w:r>
              <w:t>:</w:t>
            </w:r>
          </w:p>
          <w:p w:rsidR="00AE20D8" w:rsidRDefault="00AE20D8" w:rsidP="00CC54BF">
            <w:pPr>
              <w:spacing w:after="0" w:line="240" w:lineRule="auto"/>
            </w:pPr>
            <w:r>
              <w:rPr>
                <w:sz w:val="23"/>
                <w:szCs w:val="23"/>
              </w:rPr>
              <w:t>18 doctors responded. 16 (89%) believed orchidopexy was unnecessary on the ipsilateral testis if neither torsion nor Bell clapper deformity was present. All respondents (100%) agreed that the ipsilateral testis should be fixed if Bell clapper deformity was identified, even without torsion. 16 respondents (89%) supported exploring the contralateral testis if Bell clapper deformity was seen ipsilaterally, with all of them endorsing orchidopexy if the deformity was present in the contralateral testis. 14 of these 16 (87.5%) felt orchidopexy was unnecessary if no torsion or deformity was found on the contralateral side.</w:t>
            </w:r>
          </w:p>
          <w:p w:rsidR="00AE20D8" w:rsidRDefault="00AE20D8" w:rsidP="00CC54BF">
            <w:pPr>
              <w:spacing w:after="0" w:line="240" w:lineRule="auto"/>
              <w:rPr>
                <w:rFonts w:cs="Times New Roman"/>
              </w:rPr>
            </w:pPr>
          </w:p>
        </w:tc>
      </w:tr>
      <w:tr w:rsidR="00AE20D8" w:rsidTr="00CC54BF">
        <w:tc>
          <w:tcPr>
            <w:tcW w:w="8545" w:type="dxa"/>
            <w:gridSpan w:val="2"/>
            <w:tcBorders>
              <w:top w:val="single" w:sz="4" w:space="0" w:color="auto"/>
              <w:left w:val="single" w:sz="4" w:space="0" w:color="auto"/>
              <w:bottom w:val="single" w:sz="4" w:space="0" w:color="auto"/>
              <w:right w:val="single" w:sz="4" w:space="0" w:color="auto"/>
            </w:tcBorders>
            <w:shd w:val="clear" w:color="auto" w:fill="D9D9D9"/>
          </w:tcPr>
          <w:p w:rsidR="00AE20D8" w:rsidRDefault="00AE20D8" w:rsidP="00CC54BF">
            <w:pPr>
              <w:spacing w:after="0" w:line="240" w:lineRule="auto"/>
            </w:pPr>
            <w:r>
              <w:rPr>
                <w:b/>
              </w:rPr>
              <w:t>Conclusion</w:t>
            </w:r>
            <w:r>
              <w:t>:</w:t>
            </w:r>
          </w:p>
          <w:p w:rsidR="00AE20D8" w:rsidRDefault="00AE20D8" w:rsidP="00CC54BF">
            <w:pPr>
              <w:spacing w:after="0" w:line="240" w:lineRule="auto"/>
            </w:pPr>
            <w:r>
              <w:rPr>
                <w:sz w:val="23"/>
                <w:szCs w:val="23"/>
              </w:rPr>
              <w:t>Despite some variation in practice, Urology resident doctors generally align with the BURST-BAUS recommendations for orchidopexy during scrotal exploration. Most agree that orchidopexy is unnecessary without torsion or Bell clapper deformity, but support fixation when the deformity is present, ensuring adherence to best practice guidelines. However, there is room for improvement in raising awareness and understanding of the BURST-BAUS consensus guideline to further standardise practices across the board.</w:t>
            </w:r>
          </w:p>
          <w:p w:rsidR="00AE20D8" w:rsidRDefault="00AE20D8" w:rsidP="00CC54BF">
            <w:pPr>
              <w:spacing w:after="0" w:line="240" w:lineRule="auto"/>
              <w:rPr>
                <w:rFonts w:cs="Times New Roman"/>
              </w:rPr>
            </w:pPr>
          </w:p>
        </w:tc>
      </w:tr>
    </w:tbl>
    <w:p w:rsidR="00D33466" w:rsidRDefault="00D33466" w:rsidP="00D33466"/>
    <w:p w:rsidR="00D33466" w:rsidRDefault="00D33466" w:rsidP="00D33466">
      <w:pPr>
        <w:pStyle w:val="Default"/>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171"/>
        <w:gridCol w:w="4172"/>
      </w:tblGrid>
      <w:tr w:rsidR="00D33466">
        <w:trPr>
          <w:trHeight w:val="270"/>
        </w:trPr>
        <w:tc>
          <w:tcPr>
            <w:tcW w:w="4171" w:type="dxa"/>
          </w:tcPr>
          <w:p w:rsidR="00D33466" w:rsidRDefault="00D33466">
            <w:pPr>
              <w:pStyle w:val="Default"/>
              <w:rPr>
                <w:sz w:val="23"/>
                <w:szCs w:val="23"/>
              </w:rPr>
            </w:pPr>
          </w:p>
        </w:tc>
        <w:tc>
          <w:tcPr>
            <w:tcW w:w="4171" w:type="dxa"/>
          </w:tcPr>
          <w:p w:rsidR="00D33466" w:rsidRDefault="00D33466">
            <w:pPr>
              <w:pStyle w:val="Default"/>
              <w:rPr>
                <w:sz w:val="22"/>
                <w:szCs w:val="22"/>
              </w:rPr>
            </w:pPr>
          </w:p>
        </w:tc>
      </w:tr>
      <w:tr w:rsidR="00D33466">
        <w:trPr>
          <w:trHeight w:val="267"/>
        </w:trPr>
        <w:tc>
          <w:tcPr>
            <w:tcW w:w="8343" w:type="dxa"/>
            <w:gridSpan w:val="2"/>
          </w:tcPr>
          <w:p w:rsidR="00D33466" w:rsidRDefault="00D33466">
            <w:pPr>
              <w:pStyle w:val="Default"/>
              <w:rPr>
                <w:sz w:val="23"/>
                <w:szCs w:val="23"/>
              </w:rPr>
            </w:pPr>
          </w:p>
        </w:tc>
      </w:tr>
      <w:tr w:rsidR="00D33466">
        <w:trPr>
          <w:trHeight w:val="412"/>
        </w:trPr>
        <w:tc>
          <w:tcPr>
            <w:tcW w:w="8343" w:type="dxa"/>
            <w:gridSpan w:val="2"/>
          </w:tcPr>
          <w:p w:rsidR="00D33466" w:rsidRDefault="00D33466">
            <w:pPr>
              <w:pStyle w:val="Default"/>
              <w:rPr>
                <w:sz w:val="23"/>
                <w:szCs w:val="23"/>
              </w:rPr>
            </w:pPr>
          </w:p>
        </w:tc>
      </w:tr>
      <w:tr w:rsidR="00D33466">
        <w:trPr>
          <w:trHeight w:val="267"/>
        </w:trPr>
        <w:tc>
          <w:tcPr>
            <w:tcW w:w="8343" w:type="dxa"/>
            <w:gridSpan w:val="2"/>
          </w:tcPr>
          <w:p w:rsidR="00D33466" w:rsidRDefault="00D33466">
            <w:pPr>
              <w:pStyle w:val="Default"/>
              <w:rPr>
                <w:sz w:val="23"/>
                <w:szCs w:val="23"/>
              </w:rPr>
            </w:pPr>
          </w:p>
        </w:tc>
      </w:tr>
      <w:tr w:rsidR="00D33466">
        <w:trPr>
          <w:trHeight w:val="855"/>
        </w:trPr>
        <w:tc>
          <w:tcPr>
            <w:tcW w:w="8343" w:type="dxa"/>
            <w:gridSpan w:val="2"/>
          </w:tcPr>
          <w:p w:rsidR="00D33466" w:rsidRDefault="00D33466">
            <w:pPr>
              <w:pStyle w:val="Default"/>
              <w:rPr>
                <w:sz w:val="23"/>
                <w:szCs w:val="23"/>
              </w:rPr>
            </w:pPr>
          </w:p>
        </w:tc>
      </w:tr>
      <w:tr w:rsidR="00D33466">
        <w:trPr>
          <w:trHeight w:val="710"/>
        </w:trPr>
        <w:tc>
          <w:tcPr>
            <w:tcW w:w="8343" w:type="dxa"/>
            <w:gridSpan w:val="2"/>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6"/>
              <w:gridCol w:w="3173"/>
            </w:tblGrid>
            <w:tr w:rsidR="00AE20D8" w:rsidTr="00AE20D8">
              <w:trPr>
                <w:trHeight w:val="510"/>
              </w:trPr>
              <w:tc>
                <w:tcPr>
                  <w:tcW w:w="4906" w:type="dxa"/>
                  <w:tcBorders>
                    <w:top w:val="single" w:sz="4" w:space="0" w:color="auto"/>
                    <w:left w:val="single" w:sz="4" w:space="0" w:color="auto"/>
                    <w:bottom w:val="single" w:sz="4" w:space="0" w:color="auto"/>
                    <w:right w:val="single" w:sz="4" w:space="0" w:color="auto"/>
                  </w:tcBorders>
                </w:tcPr>
                <w:p w:rsidR="00AE20D8" w:rsidRDefault="00AE20D8" w:rsidP="00AE20D8">
                  <w:pPr>
                    <w:spacing w:after="0" w:line="240" w:lineRule="auto"/>
                  </w:pPr>
                  <w:r>
                    <w:rPr>
                      <w:b/>
                    </w:rPr>
                    <w:t>Name of Presenter</w:t>
                  </w:r>
                  <w:r>
                    <w:t>:</w:t>
                  </w:r>
                </w:p>
                <w:p w:rsidR="00AE20D8" w:rsidRDefault="00AE20D8" w:rsidP="00AE20D8">
                  <w:pPr>
                    <w:spacing w:after="0" w:line="240" w:lineRule="auto"/>
                    <w:rPr>
                      <w:rFonts w:cs="Times New Roman"/>
                    </w:rPr>
                  </w:pPr>
                  <w:r>
                    <w:rPr>
                      <w:rFonts w:cs="Times New Roman"/>
                    </w:rPr>
                    <w:t xml:space="preserve">Yehia </w:t>
                  </w:r>
                  <w:proofErr w:type="spellStart"/>
                  <w:r>
                    <w:rPr>
                      <w:rFonts w:cs="Times New Roman"/>
                    </w:rPr>
                    <w:t>Abdelmotagly</w:t>
                  </w:r>
                  <w:proofErr w:type="spellEnd"/>
                </w:p>
              </w:tc>
              <w:tc>
                <w:tcPr>
                  <w:tcW w:w="3173" w:type="dxa"/>
                  <w:tcBorders>
                    <w:top w:val="single" w:sz="4" w:space="0" w:color="auto"/>
                    <w:left w:val="single" w:sz="4" w:space="0" w:color="auto"/>
                    <w:bottom w:val="single" w:sz="4" w:space="0" w:color="auto"/>
                    <w:right w:val="single" w:sz="4" w:space="0" w:color="auto"/>
                  </w:tcBorders>
                  <w:hideMark/>
                </w:tcPr>
                <w:p w:rsidR="00AE20D8" w:rsidRDefault="00AE20D8" w:rsidP="00AE20D8">
                  <w:pPr>
                    <w:spacing w:after="0" w:line="240" w:lineRule="auto"/>
                  </w:pPr>
                  <w:r>
                    <w:rPr>
                      <w:b/>
                    </w:rPr>
                    <w:t>Training grade/post</w:t>
                  </w:r>
                  <w:r>
                    <w:t>:</w:t>
                  </w:r>
                </w:p>
                <w:p w:rsidR="00AE20D8" w:rsidRDefault="00AE20D8" w:rsidP="00AE20D8">
                  <w:pPr>
                    <w:spacing w:after="0" w:line="240" w:lineRule="auto"/>
                    <w:rPr>
                      <w:rFonts w:cs="Times New Roman"/>
                    </w:rPr>
                  </w:pPr>
                  <w:r>
                    <w:rPr>
                      <w:rFonts w:cs="Times New Roman"/>
                    </w:rPr>
                    <w:t>ST3</w:t>
                  </w:r>
                </w:p>
              </w:tc>
            </w:tr>
            <w:tr w:rsidR="00AE20D8" w:rsidTr="00AE20D8">
              <w:trPr>
                <w:trHeight w:val="525"/>
              </w:trPr>
              <w:tc>
                <w:tcPr>
                  <w:tcW w:w="8079" w:type="dxa"/>
                  <w:gridSpan w:val="2"/>
                  <w:tcBorders>
                    <w:top w:val="single" w:sz="4" w:space="0" w:color="auto"/>
                    <w:left w:val="single" w:sz="4" w:space="0" w:color="auto"/>
                    <w:bottom w:val="single" w:sz="4" w:space="0" w:color="auto"/>
                    <w:right w:val="single" w:sz="4" w:space="0" w:color="auto"/>
                  </w:tcBorders>
                </w:tcPr>
                <w:p w:rsidR="00AE20D8" w:rsidRDefault="00AE20D8" w:rsidP="00AE20D8">
                  <w:pPr>
                    <w:spacing w:after="0" w:line="240" w:lineRule="auto"/>
                  </w:pPr>
                  <w:r>
                    <w:rPr>
                      <w:b/>
                    </w:rPr>
                    <w:t>Institution</w:t>
                  </w:r>
                  <w:r>
                    <w:t>:</w:t>
                  </w:r>
                </w:p>
                <w:p w:rsidR="00AE20D8" w:rsidRDefault="00AE20D8" w:rsidP="00AE20D8">
                  <w:pPr>
                    <w:spacing w:after="0" w:line="240" w:lineRule="auto"/>
                    <w:rPr>
                      <w:rFonts w:cs="Times New Roman"/>
                    </w:rPr>
                  </w:pPr>
                  <w:r>
                    <w:rPr>
                      <w:rFonts w:cs="Times New Roman"/>
                    </w:rPr>
                    <w:t xml:space="preserve">South Tees NHS Hospitals Foundation Trust  </w:t>
                  </w:r>
                </w:p>
                <w:p w:rsidR="00EC2E3B" w:rsidRDefault="00EC2E3B" w:rsidP="00AE20D8">
                  <w:pPr>
                    <w:spacing w:after="0" w:line="240" w:lineRule="auto"/>
                    <w:rPr>
                      <w:rFonts w:cs="Times New Roman"/>
                    </w:rPr>
                  </w:pPr>
                </w:p>
              </w:tc>
            </w:tr>
            <w:tr w:rsidR="00AE20D8" w:rsidTr="00AE20D8">
              <w:trPr>
                <w:trHeight w:val="773"/>
              </w:trPr>
              <w:tc>
                <w:tcPr>
                  <w:tcW w:w="8079" w:type="dxa"/>
                  <w:gridSpan w:val="2"/>
                  <w:tcBorders>
                    <w:top w:val="single" w:sz="4" w:space="0" w:color="auto"/>
                    <w:left w:val="single" w:sz="4" w:space="0" w:color="auto"/>
                    <w:bottom w:val="single" w:sz="4" w:space="0" w:color="auto"/>
                    <w:right w:val="single" w:sz="4" w:space="0" w:color="auto"/>
                  </w:tcBorders>
                </w:tcPr>
                <w:p w:rsidR="00AE20D8" w:rsidRDefault="00AE20D8" w:rsidP="00AE20D8">
                  <w:pPr>
                    <w:spacing w:after="0" w:line="240" w:lineRule="auto"/>
                  </w:pPr>
                  <w:r>
                    <w:rPr>
                      <w:b/>
                    </w:rPr>
                    <w:t>Title of Presentation</w:t>
                  </w:r>
                  <w:r>
                    <w:t>:</w:t>
                  </w:r>
                </w:p>
                <w:p w:rsidR="00AE20D8" w:rsidRPr="00486701" w:rsidRDefault="00AE20D8" w:rsidP="00AE20D8">
                  <w:pPr>
                    <w:spacing w:after="0" w:line="240" w:lineRule="auto"/>
                    <w:rPr>
                      <w:bCs/>
                    </w:rPr>
                  </w:pPr>
                  <w:r w:rsidRPr="00486701">
                    <w:rPr>
                      <w:bCs/>
                    </w:rPr>
                    <w:t xml:space="preserve">Is Navigation Treatment of Postmenopausal </w:t>
                  </w:r>
                  <w:r>
                    <w:rPr>
                      <w:bCs/>
                    </w:rPr>
                    <w:t>Recurrent U</w:t>
                  </w:r>
                  <w:r w:rsidRPr="00486701">
                    <w:rPr>
                      <w:bCs/>
                    </w:rPr>
                    <w:t xml:space="preserve">TIs difficult? </w:t>
                  </w:r>
                </w:p>
                <w:p w:rsidR="00AE20D8" w:rsidRPr="00FC25BB" w:rsidRDefault="00AE20D8" w:rsidP="00AE20D8">
                  <w:pPr>
                    <w:spacing w:after="0" w:line="240" w:lineRule="auto"/>
                  </w:pPr>
                </w:p>
              </w:tc>
            </w:tr>
            <w:tr w:rsidR="00AE20D8" w:rsidTr="00AE20D8">
              <w:trPr>
                <w:trHeight w:val="525"/>
              </w:trPr>
              <w:tc>
                <w:tcPr>
                  <w:tcW w:w="8079" w:type="dxa"/>
                  <w:gridSpan w:val="2"/>
                  <w:tcBorders>
                    <w:top w:val="single" w:sz="4" w:space="0" w:color="auto"/>
                    <w:left w:val="single" w:sz="4" w:space="0" w:color="auto"/>
                    <w:bottom w:val="single" w:sz="4" w:space="0" w:color="auto"/>
                    <w:right w:val="single" w:sz="4" w:space="0" w:color="auto"/>
                  </w:tcBorders>
                </w:tcPr>
                <w:p w:rsidR="00AE20D8" w:rsidRDefault="00AE20D8" w:rsidP="00AE20D8">
                  <w:pPr>
                    <w:spacing w:after="0" w:line="240" w:lineRule="auto"/>
                  </w:pPr>
                  <w:r>
                    <w:rPr>
                      <w:b/>
                    </w:rPr>
                    <w:t>Authors</w:t>
                  </w:r>
                  <w:r>
                    <w:t>:</w:t>
                  </w:r>
                </w:p>
                <w:p w:rsidR="00AE20D8" w:rsidRDefault="00AE20D8" w:rsidP="00AE20D8">
                  <w:pPr>
                    <w:spacing w:after="0" w:line="240" w:lineRule="auto"/>
                  </w:pPr>
                  <w:r>
                    <w:rPr>
                      <w:rFonts w:cs="Times New Roman"/>
                    </w:rPr>
                    <w:t xml:space="preserve">Mr Yehia </w:t>
                  </w:r>
                  <w:proofErr w:type="spellStart"/>
                  <w:r>
                    <w:rPr>
                      <w:rFonts w:cs="Times New Roman"/>
                    </w:rPr>
                    <w:t>Abdelmotagly</w:t>
                  </w:r>
                  <w:proofErr w:type="spellEnd"/>
                  <w:r>
                    <w:rPr>
                      <w:rFonts w:cs="Times New Roman"/>
                    </w:rPr>
                    <w:t>,</w:t>
                  </w:r>
                  <w:r>
                    <w:t xml:space="preserve"> </w:t>
                  </w:r>
                  <w:proofErr w:type="spellStart"/>
                  <w:r>
                    <w:t>Inyang</w:t>
                  </w:r>
                  <w:proofErr w:type="spellEnd"/>
                  <w:r>
                    <w:t xml:space="preserve"> Ekpeno, Ms Mehwash Nadeem </w:t>
                  </w:r>
                </w:p>
                <w:p w:rsidR="00EC2E3B" w:rsidRPr="00FC25BB" w:rsidRDefault="00EC2E3B" w:rsidP="00AE20D8">
                  <w:pPr>
                    <w:spacing w:after="0" w:line="240" w:lineRule="auto"/>
                  </w:pPr>
                </w:p>
              </w:tc>
            </w:tr>
            <w:tr w:rsidR="00AE20D8" w:rsidTr="00AE20D8">
              <w:trPr>
                <w:trHeight w:val="510"/>
              </w:trPr>
              <w:tc>
                <w:tcPr>
                  <w:tcW w:w="8079" w:type="dxa"/>
                  <w:gridSpan w:val="2"/>
                  <w:tcBorders>
                    <w:top w:val="single" w:sz="4" w:space="0" w:color="auto"/>
                    <w:left w:val="single" w:sz="4" w:space="0" w:color="auto"/>
                    <w:bottom w:val="single" w:sz="4" w:space="0" w:color="auto"/>
                    <w:right w:val="single" w:sz="4" w:space="0" w:color="auto"/>
                  </w:tcBorders>
                  <w:shd w:val="clear" w:color="auto" w:fill="D9D9D9"/>
                </w:tcPr>
                <w:p w:rsidR="00AE20D8" w:rsidRDefault="00AE20D8" w:rsidP="00AE20D8">
                  <w:pPr>
                    <w:spacing w:after="0" w:line="240" w:lineRule="auto"/>
                  </w:pPr>
                  <w:r>
                    <w:rPr>
                      <w:b/>
                    </w:rPr>
                    <w:t>Aims</w:t>
                  </w:r>
                  <w:r>
                    <w:t>: To emphasis</w:t>
                  </w:r>
                  <w:r w:rsidRPr="00010DDB">
                    <w:t xml:space="preserve">e the significance of assessing </w:t>
                  </w:r>
                  <w:r>
                    <w:t xml:space="preserve">and managing </w:t>
                  </w:r>
                  <w:r w:rsidRPr="00010DDB">
                    <w:t>post-menopausal recurrent urinary tract infections (</w:t>
                  </w:r>
                  <w:proofErr w:type="spellStart"/>
                  <w:r>
                    <w:t>r</w:t>
                  </w:r>
                  <w:r w:rsidRPr="00010DDB">
                    <w:t>UTIs</w:t>
                  </w:r>
                  <w:proofErr w:type="spellEnd"/>
                  <w:r w:rsidRPr="00010DDB">
                    <w:t>) referred to a specialized complex UTI clinic</w:t>
                  </w:r>
                </w:p>
                <w:p w:rsidR="00EC2E3B" w:rsidRPr="004D4B55" w:rsidRDefault="00EC2E3B" w:rsidP="00AE20D8">
                  <w:pPr>
                    <w:spacing w:after="0" w:line="240" w:lineRule="auto"/>
                  </w:pPr>
                </w:p>
              </w:tc>
            </w:tr>
            <w:tr w:rsidR="00AE20D8" w:rsidTr="00AE20D8">
              <w:trPr>
                <w:trHeight w:val="2523"/>
              </w:trPr>
              <w:tc>
                <w:tcPr>
                  <w:tcW w:w="8079" w:type="dxa"/>
                  <w:gridSpan w:val="2"/>
                  <w:tcBorders>
                    <w:top w:val="single" w:sz="4" w:space="0" w:color="auto"/>
                    <w:left w:val="single" w:sz="4" w:space="0" w:color="auto"/>
                    <w:bottom w:val="single" w:sz="4" w:space="0" w:color="auto"/>
                    <w:right w:val="single" w:sz="4" w:space="0" w:color="auto"/>
                  </w:tcBorders>
                  <w:shd w:val="clear" w:color="auto" w:fill="D9D9D9"/>
                </w:tcPr>
                <w:p w:rsidR="00AE20D8" w:rsidRDefault="00AE20D8" w:rsidP="00AE20D8">
                  <w:pPr>
                    <w:spacing w:after="0" w:line="240" w:lineRule="auto"/>
                  </w:pPr>
                  <w:r>
                    <w:rPr>
                      <w:b/>
                    </w:rPr>
                    <w:t>Methods</w:t>
                  </w:r>
                  <w:r>
                    <w:t>:</w:t>
                  </w:r>
                </w:p>
                <w:p w:rsidR="00AE20D8" w:rsidRDefault="00AE20D8" w:rsidP="00AE20D8">
                  <w:pPr>
                    <w:spacing w:after="0"/>
                    <w:rPr>
                      <w:rFonts w:ascii="Times New Roman" w:eastAsia="Times New Roman" w:hAnsi="Times New Roman" w:cs="Times New Roman"/>
                    </w:rPr>
                  </w:pPr>
                  <w:r>
                    <w:rPr>
                      <w:rFonts w:ascii="Times New Roman" w:eastAsia="Times New Roman" w:hAnsi="Times New Roman" w:cs="Times New Roman"/>
                    </w:rPr>
                    <w:t>We</w:t>
                  </w:r>
                  <w:r w:rsidRPr="008C44B9">
                    <w:rPr>
                      <w:rFonts w:ascii="Times New Roman" w:eastAsia="Times New Roman" w:hAnsi="Times New Roman" w:cs="Times New Roman"/>
                    </w:rPr>
                    <w:t xml:space="preserve"> retrospective</w:t>
                  </w:r>
                  <w:r>
                    <w:rPr>
                      <w:rFonts w:ascii="Times New Roman" w:eastAsia="Times New Roman" w:hAnsi="Times New Roman" w:cs="Times New Roman"/>
                    </w:rPr>
                    <w:t>ly</w:t>
                  </w:r>
                  <w:r w:rsidRPr="008C44B9">
                    <w:rPr>
                      <w:rFonts w:ascii="Times New Roman" w:eastAsia="Times New Roman" w:hAnsi="Times New Roman" w:cs="Times New Roman"/>
                    </w:rPr>
                    <w:t xml:space="preserve"> analys</w:t>
                  </w:r>
                  <w:r>
                    <w:rPr>
                      <w:rFonts w:ascii="Times New Roman" w:eastAsia="Times New Roman" w:hAnsi="Times New Roman" w:cs="Times New Roman"/>
                    </w:rPr>
                    <w:t>ed our</w:t>
                  </w:r>
                  <w:r w:rsidRPr="008C44B9">
                    <w:rPr>
                      <w:rFonts w:ascii="Times New Roman" w:eastAsia="Times New Roman" w:hAnsi="Times New Roman" w:cs="Times New Roman"/>
                    </w:rPr>
                    <w:t xml:space="preserve"> prospectively </w:t>
                  </w:r>
                  <w:r>
                    <w:rPr>
                      <w:rFonts w:ascii="Times New Roman" w:eastAsia="Times New Roman" w:hAnsi="Times New Roman" w:cs="Times New Roman"/>
                    </w:rPr>
                    <w:t>maintained</w:t>
                  </w:r>
                  <w:r w:rsidRPr="008C44B9">
                    <w:rPr>
                      <w:rFonts w:ascii="Times New Roman" w:eastAsia="Times New Roman" w:hAnsi="Times New Roman" w:cs="Times New Roman"/>
                    </w:rPr>
                    <w:t xml:space="preserve"> database</w:t>
                  </w:r>
                  <w:r>
                    <w:rPr>
                      <w:rFonts w:ascii="Times New Roman" w:eastAsia="Times New Roman" w:hAnsi="Times New Roman" w:cs="Times New Roman"/>
                    </w:rPr>
                    <w:t>.</w:t>
                  </w:r>
                  <w:r w:rsidRPr="008C44B9">
                    <w:rPr>
                      <w:rFonts w:ascii="Times New Roman" w:eastAsia="Times New Roman" w:hAnsi="Times New Roman" w:cs="Times New Roman"/>
                    </w:rPr>
                    <w:t>12</w:t>
                  </w:r>
                  <w:r>
                    <w:rPr>
                      <w:rFonts w:ascii="Times New Roman" w:eastAsia="Times New Roman" w:hAnsi="Times New Roman" w:cs="Times New Roman"/>
                    </w:rPr>
                    <w:t xml:space="preserve">3 post-menopausal women with </w:t>
                  </w:r>
                  <w:proofErr w:type="spellStart"/>
                  <w:r>
                    <w:rPr>
                      <w:rFonts w:ascii="Times New Roman" w:eastAsia="Times New Roman" w:hAnsi="Times New Roman" w:cs="Times New Roman"/>
                    </w:rPr>
                    <w:t>rUTI</w:t>
                  </w:r>
                  <w:proofErr w:type="spellEnd"/>
                  <w:r>
                    <w:rPr>
                      <w:rFonts w:ascii="Times New Roman" w:eastAsia="Times New Roman" w:hAnsi="Times New Roman" w:cs="Times New Roman"/>
                    </w:rPr>
                    <w:t>,{median</w:t>
                  </w:r>
                  <w:r w:rsidRPr="008C44B9">
                    <w:rPr>
                      <w:rFonts w:ascii="Times New Roman" w:eastAsia="Times New Roman" w:hAnsi="Times New Roman" w:cs="Times New Roman"/>
                    </w:rPr>
                    <w:t xml:space="preserve"> age</w:t>
                  </w:r>
                  <w:r>
                    <w:rPr>
                      <w:rFonts w:ascii="Times New Roman" w:eastAsia="Times New Roman" w:hAnsi="Times New Roman" w:cs="Times New Roman"/>
                    </w:rPr>
                    <w:t>:</w:t>
                  </w:r>
                  <w:r w:rsidRPr="008C44B9">
                    <w:rPr>
                      <w:rFonts w:ascii="Times New Roman" w:eastAsia="Times New Roman" w:hAnsi="Times New Roman" w:cs="Times New Roman"/>
                    </w:rPr>
                    <w:t>63.4 years (</w:t>
                  </w:r>
                  <w:r>
                    <w:rPr>
                      <w:rFonts w:ascii="Times New Roman" w:eastAsia="Times New Roman" w:hAnsi="Times New Roman" w:cs="Times New Roman"/>
                    </w:rPr>
                    <w:t>R:</w:t>
                  </w:r>
                  <w:r w:rsidRPr="008C44B9">
                    <w:rPr>
                      <w:rFonts w:ascii="Times New Roman" w:eastAsia="Times New Roman" w:hAnsi="Times New Roman" w:cs="Times New Roman"/>
                    </w:rPr>
                    <w:t>43</w:t>
                  </w:r>
                  <w:r>
                    <w:rPr>
                      <w:rFonts w:ascii="Times New Roman" w:eastAsia="Times New Roman" w:hAnsi="Times New Roman" w:cs="Times New Roman"/>
                    </w:rPr>
                    <w:t>-</w:t>
                  </w:r>
                  <w:r w:rsidRPr="008C44B9">
                    <w:rPr>
                      <w:rFonts w:ascii="Times New Roman" w:eastAsia="Times New Roman" w:hAnsi="Times New Roman" w:cs="Times New Roman"/>
                    </w:rPr>
                    <w:t xml:space="preserve"> 89 years)</w:t>
                  </w:r>
                  <w:r>
                    <w:rPr>
                      <w:rFonts w:ascii="Times New Roman" w:eastAsia="Times New Roman" w:hAnsi="Times New Roman" w:cs="Times New Roman"/>
                    </w:rPr>
                    <w:t>}</w:t>
                  </w:r>
                  <w:r w:rsidRPr="008C44B9">
                    <w:rPr>
                      <w:rFonts w:ascii="Times New Roman" w:eastAsia="Times New Roman" w:hAnsi="Times New Roman" w:cs="Times New Roman"/>
                    </w:rPr>
                    <w:t xml:space="preserve">were referred to our clinic between April 2021 </w:t>
                  </w:r>
                  <w:r>
                    <w:rPr>
                      <w:rFonts w:ascii="Times New Roman" w:eastAsia="Times New Roman" w:hAnsi="Times New Roman" w:cs="Times New Roman"/>
                    </w:rPr>
                    <w:t>-</w:t>
                  </w:r>
                  <w:r w:rsidRPr="008C44B9">
                    <w:rPr>
                      <w:rFonts w:ascii="Times New Roman" w:eastAsia="Times New Roman" w:hAnsi="Times New Roman" w:cs="Times New Roman"/>
                    </w:rPr>
                    <w:t>February 202</w:t>
                  </w:r>
                  <w:r>
                    <w:rPr>
                      <w:rFonts w:ascii="Times New Roman" w:eastAsia="Times New Roman" w:hAnsi="Times New Roman" w:cs="Times New Roman"/>
                    </w:rPr>
                    <w:t>3.</w:t>
                  </w:r>
                  <w:r w:rsidRPr="008C44B9">
                    <w:rPr>
                      <w:rFonts w:ascii="Times New Roman" w:eastAsia="Times New Roman" w:hAnsi="Times New Roman" w:cs="Times New Roman"/>
                    </w:rPr>
                    <w:t>Comprehensive data w</w:t>
                  </w:r>
                  <w:r>
                    <w:rPr>
                      <w:rFonts w:ascii="Times New Roman" w:eastAsia="Times New Roman" w:hAnsi="Times New Roman" w:cs="Times New Roman"/>
                    </w:rPr>
                    <w:t>as</w:t>
                  </w:r>
                  <w:r w:rsidRPr="008C44B9">
                    <w:rPr>
                      <w:rFonts w:ascii="Times New Roman" w:eastAsia="Times New Roman" w:hAnsi="Times New Roman" w:cs="Times New Roman"/>
                    </w:rPr>
                    <w:t xml:space="preserve"> gathered, encompassing</w:t>
                  </w:r>
                  <w:r>
                    <w:rPr>
                      <w:rFonts w:ascii="Times New Roman" w:eastAsia="Times New Roman" w:hAnsi="Times New Roman" w:cs="Times New Roman"/>
                    </w:rPr>
                    <w:t xml:space="preserve"> p</w:t>
                  </w:r>
                  <w:r w:rsidRPr="00390B20">
                    <w:rPr>
                      <w:rFonts w:ascii="Times New Roman" w:eastAsia="Times New Roman" w:hAnsi="Times New Roman" w:cs="Times New Roman"/>
                    </w:rPr>
                    <w:t>atient demographics,</w:t>
                  </w:r>
                  <w:r>
                    <w:rPr>
                      <w:rFonts w:ascii="Times New Roman" w:eastAsia="Times New Roman" w:hAnsi="Times New Roman" w:cs="Times New Roman"/>
                    </w:rPr>
                    <w:t xml:space="preserve"> clinical presentation, frequency of UTIs, hospital admissions,</w:t>
                  </w:r>
                  <w:r w:rsidRPr="00390B20">
                    <w:rPr>
                      <w:rFonts w:ascii="Times New Roman" w:eastAsia="Times New Roman" w:hAnsi="Times New Roman" w:cs="Times New Roman"/>
                    </w:rPr>
                    <w:t xml:space="preserve"> urine culture (causative bacterial organism and antibiotic sensitivities), investigations</w:t>
                  </w:r>
                  <w:r>
                    <w:rPr>
                      <w:rFonts w:ascii="Times New Roman" w:eastAsia="Times New Roman" w:hAnsi="Times New Roman" w:cs="Times New Roman"/>
                    </w:rPr>
                    <w:t xml:space="preserve"> &amp;</w:t>
                  </w:r>
                  <w:r w:rsidRPr="00390B20">
                    <w:rPr>
                      <w:rFonts w:ascii="Times New Roman" w:eastAsia="Times New Roman" w:hAnsi="Times New Roman" w:cs="Times New Roman"/>
                    </w:rPr>
                    <w:t xml:space="preserve"> treatment</w:t>
                  </w:r>
                  <w:r>
                    <w:rPr>
                      <w:rFonts w:ascii="Times New Roman" w:eastAsia="Times New Roman" w:hAnsi="Times New Roman" w:cs="Times New Roman"/>
                    </w:rPr>
                    <w:t xml:space="preserve"> received prior to and following the referral</w:t>
                  </w:r>
                  <w:r w:rsidRPr="00390B20">
                    <w:rPr>
                      <w:rFonts w:ascii="Times New Roman" w:eastAsia="Times New Roman" w:hAnsi="Times New Roman" w:cs="Times New Roman"/>
                    </w:rPr>
                    <w:t xml:space="preserve"> </w:t>
                  </w:r>
                  <w:r>
                    <w:rPr>
                      <w:rFonts w:ascii="Times New Roman" w:eastAsia="Times New Roman" w:hAnsi="Times New Roman" w:cs="Times New Roman"/>
                    </w:rPr>
                    <w:t>with treatment response rate</w:t>
                  </w:r>
                  <w:r w:rsidRPr="00390B20">
                    <w:rPr>
                      <w:rFonts w:ascii="Times New Roman" w:eastAsia="Times New Roman" w:hAnsi="Times New Roman" w:cs="Times New Roman"/>
                    </w:rPr>
                    <w:t xml:space="preserve">. Pre-treatment QoL (Quality of Life) </w:t>
                  </w:r>
                  <w:r>
                    <w:rPr>
                      <w:rFonts w:ascii="Times New Roman" w:eastAsia="Times New Roman" w:hAnsi="Times New Roman" w:cs="Times New Roman"/>
                    </w:rPr>
                    <w:t>&amp;</w:t>
                  </w:r>
                  <w:r w:rsidRPr="00390B20">
                    <w:rPr>
                      <w:rFonts w:ascii="Times New Roman" w:eastAsia="Times New Roman" w:hAnsi="Times New Roman" w:cs="Times New Roman"/>
                    </w:rPr>
                    <w:t xml:space="preserve"> post-treatment PGI-I (Patient global impression of improvement Scale) Score were measured. </w:t>
                  </w:r>
                  <w:r>
                    <w:rPr>
                      <w:rFonts w:ascii="Times New Roman" w:eastAsia="Times New Roman" w:hAnsi="Times New Roman" w:cs="Times New Roman"/>
                    </w:rPr>
                    <w:t>Mean follow up was 9 months.</w:t>
                  </w:r>
                </w:p>
                <w:p w:rsidR="00EC2E3B" w:rsidRPr="004859E7" w:rsidRDefault="00EC2E3B" w:rsidP="00AE20D8">
                  <w:pPr>
                    <w:spacing w:after="0"/>
                    <w:rPr>
                      <w:rFonts w:ascii="Times New Roman" w:eastAsia="Times New Roman" w:hAnsi="Times New Roman" w:cs="Times New Roman"/>
                    </w:rPr>
                  </w:pPr>
                </w:p>
              </w:tc>
            </w:tr>
            <w:tr w:rsidR="00AE20D8" w:rsidTr="00AE20D8">
              <w:trPr>
                <w:trHeight w:val="3224"/>
              </w:trPr>
              <w:tc>
                <w:tcPr>
                  <w:tcW w:w="8079" w:type="dxa"/>
                  <w:gridSpan w:val="2"/>
                  <w:tcBorders>
                    <w:top w:val="single" w:sz="4" w:space="0" w:color="auto"/>
                    <w:left w:val="single" w:sz="4" w:space="0" w:color="auto"/>
                    <w:bottom w:val="single" w:sz="4" w:space="0" w:color="auto"/>
                    <w:right w:val="single" w:sz="4" w:space="0" w:color="auto"/>
                  </w:tcBorders>
                  <w:shd w:val="clear" w:color="auto" w:fill="D9D9D9"/>
                </w:tcPr>
                <w:p w:rsidR="00AE20D8" w:rsidRDefault="00AE20D8" w:rsidP="00AE20D8">
                  <w:pPr>
                    <w:spacing w:after="0" w:line="240" w:lineRule="auto"/>
                    <w:rPr>
                      <w:rFonts w:ascii="Times New Roman" w:eastAsia="Times New Roman" w:hAnsi="Times New Roman" w:cs="Times New Roman"/>
                    </w:rPr>
                  </w:pPr>
                  <w:r>
                    <w:rPr>
                      <w:b/>
                    </w:rPr>
                    <w:t>Results</w:t>
                  </w:r>
                  <w:r>
                    <w:t xml:space="preserve">: </w:t>
                  </w:r>
                  <w:r>
                    <w:rPr>
                      <w:rFonts w:ascii="Times New Roman" w:eastAsia="Times New Roman" w:hAnsi="Times New Roman" w:cs="Times New Roman"/>
                    </w:rPr>
                    <w:t>65%</w:t>
                  </w:r>
                  <w:r w:rsidRPr="003505F7">
                    <w:rPr>
                      <w:rFonts w:ascii="Times New Roman" w:eastAsia="Times New Roman" w:hAnsi="Times New Roman" w:cs="Times New Roman"/>
                    </w:rPr>
                    <w:t xml:space="preserve"> referrals came from General Practitioners. 96% </w:t>
                  </w:r>
                  <w:r>
                    <w:rPr>
                      <w:rFonts w:ascii="Times New Roman" w:eastAsia="Times New Roman" w:hAnsi="Times New Roman" w:cs="Times New Roman"/>
                    </w:rPr>
                    <w:t>had &gt;3 UTIs in 12 months. 97% patients had LUTS &amp;11% had visible hematuria.5% needed hospital admission with urosepsis.</w:t>
                  </w:r>
                  <w:r w:rsidRPr="003505F7">
                    <w:rPr>
                      <w:rFonts w:ascii="Times New Roman" w:eastAsia="Times New Roman" w:hAnsi="Times New Roman" w:cs="Times New Roman"/>
                    </w:rPr>
                    <w:t xml:space="preserve"> </w:t>
                  </w:r>
                  <w:r>
                    <w:rPr>
                      <w:rFonts w:ascii="Times New Roman" w:eastAsia="Times New Roman" w:hAnsi="Times New Roman" w:cs="Times New Roman"/>
                    </w:rPr>
                    <w:t>E-Coli</w:t>
                  </w:r>
                  <w:r w:rsidRPr="003505F7">
                    <w:rPr>
                      <w:rFonts w:ascii="Times New Roman" w:eastAsia="Times New Roman" w:hAnsi="Times New Roman" w:cs="Times New Roman"/>
                    </w:rPr>
                    <w:t xml:space="preserve"> was the predominant causative organism (</w:t>
                  </w:r>
                  <w:r>
                    <w:rPr>
                      <w:rFonts w:ascii="Times New Roman" w:eastAsia="Times New Roman" w:hAnsi="Times New Roman" w:cs="Times New Roman"/>
                    </w:rPr>
                    <w:t>79%</w:t>
                  </w:r>
                  <w:r w:rsidRPr="003505F7">
                    <w:rPr>
                      <w:rFonts w:ascii="Times New Roman" w:eastAsia="Times New Roman" w:hAnsi="Times New Roman" w:cs="Times New Roman"/>
                    </w:rPr>
                    <w:t>)</w:t>
                  </w:r>
                  <w:r>
                    <w:rPr>
                      <w:rFonts w:ascii="Times New Roman" w:eastAsia="Times New Roman" w:hAnsi="Times New Roman" w:cs="Times New Roman"/>
                    </w:rPr>
                    <w:t xml:space="preserve"> sensitive to most antibiotics. Only 12 patients had multi-resistant bacterial growth</w:t>
                  </w:r>
                  <w:r w:rsidRPr="003505F7">
                    <w:rPr>
                      <w:rFonts w:ascii="Times New Roman" w:eastAsia="Times New Roman" w:hAnsi="Times New Roman" w:cs="Times New Roman"/>
                    </w:rPr>
                    <w:t>. A subset of patients exhibited abnormalities in flexible cystoscopy (</w:t>
                  </w:r>
                  <w:r>
                    <w:rPr>
                      <w:rFonts w:ascii="Times New Roman" w:eastAsia="Times New Roman" w:hAnsi="Times New Roman" w:cs="Times New Roman"/>
                    </w:rPr>
                    <w:t>16.2</w:t>
                  </w:r>
                  <w:r w:rsidRPr="003505F7">
                    <w:rPr>
                      <w:rFonts w:ascii="Times New Roman" w:eastAsia="Times New Roman" w:hAnsi="Times New Roman" w:cs="Times New Roman"/>
                    </w:rPr>
                    <w:t>%) and imaging results (</w:t>
                  </w:r>
                  <w:r>
                    <w:rPr>
                      <w:rFonts w:ascii="Times New Roman" w:eastAsia="Times New Roman" w:hAnsi="Times New Roman" w:cs="Times New Roman"/>
                    </w:rPr>
                    <w:t>5.6</w:t>
                  </w:r>
                  <w:r w:rsidRPr="003505F7">
                    <w:rPr>
                      <w:rFonts w:ascii="Times New Roman" w:eastAsia="Times New Roman" w:hAnsi="Times New Roman" w:cs="Times New Roman"/>
                    </w:rPr>
                    <w:t>%). Pre-referral</w:t>
                  </w:r>
                  <w:r>
                    <w:rPr>
                      <w:rFonts w:ascii="Times New Roman" w:eastAsia="Times New Roman" w:hAnsi="Times New Roman" w:cs="Times New Roman"/>
                    </w:rPr>
                    <w:t>, only 28% patients received 1</w:t>
                  </w:r>
                  <w:r w:rsidRPr="003A7EF9">
                    <w:rPr>
                      <w:rFonts w:ascii="Times New Roman" w:eastAsia="Times New Roman" w:hAnsi="Times New Roman" w:cs="Times New Roman"/>
                      <w:vertAlign w:val="superscript"/>
                    </w:rPr>
                    <w:t>st</w:t>
                  </w:r>
                  <w:r>
                    <w:rPr>
                      <w:rFonts w:ascii="Times New Roman" w:eastAsia="Times New Roman" w:hAnsi="Times New Roman" w:cs="Times New Roman"/>
                    </w:rPr>
                    <w:t xml:space="preserve"> or 2</w:t>
                  </w:r>
                  <w:r w:rsidRPr="003A7EF9">
                    <w:rPr>
                      <w:rFonts w:ascii="Times New Roman" w:eastAsia="Times New Roman" w:hAnsi="Times New Roman" w:cs="Times New Roman"/>
                      <w:vertAlign w:val="superscript"/>
                    </w:rPr>
                    <w:t>nd</w:t>
                  </w:r>
                  <w:r>
                    <w:rPr>
                      <w:rFonts w:ascii="Times New Roman" w:eastAsia="Times New Roman" w:hAnsi="Times New Roman" w:cs="Times New Roman"/>
                    </w:rPr>
                    <w:t xml:space="preserve"> line treatment with 11% receiving topical </w:t>
                  </w:r>
                  <w:proofErr w:type="spellStart"/>
                  <w:r>
                    <w:rPr>
                      <w:rFonts w:ascii="Times New Roman" w:eastAsia="Times New Roman" w:hAnsi="Times New Roman" w:cs="Times New Roman"/>
                    </w:rPr>
                    <w:t>estrogen</w:t>
                  </w:r>
                  <w:proofErr w:type="spellEnd"/>
                  <w:r>
                    <w:rPr>
                      <w:rFonts w:ascii="Times New Roman" w:eastAsia="Times New Roman" w:hAnsi="Times New Roman" w:cs="Times New Roman"/>
                    </w:rPr>
                    <w:t xml:space="preserve"> cream &amp;28% had prophylactic antibiotics</w:t>
                  </w:r>
                  <w:r w:rsidRPr="003505F7">
                    <w:rPr>
                      <w:rFonts w:ascii="Times New Roman" w:eastAsia="Times New Roman" w:hAnsi="Times New Roman" w:cs="Times New Roman"/>
                    </w:rPr>
                    <w:t>.</w:t>
                  </w:r>
                  <w:r>
                    <w:rPr>
                      <w:rFonts w:ascii="Times New Roman" w:eastAsia="Times New Roman" w:hAnsi="Times New Roman" w:cs="Times New Roman"/>
                    </w:rPr>
                    <w:t>64% patients reported poor QoL.</w:t>
                  </w:r>
                </w:p>
                <w:p w:rsidR="00AE20D8" w:rsidRDefault="00AE20D8" w:rsidP="00AE20D8">
                  <w:pPr>
                    <w:spacing w:after="0" w:line="240" w:lineRule="auto"/>
                    <w:rPr>
                      <w:rFonts w:ascii="Times New Roman" w:eastAsia="Times New Roman" w:hAnsi="Times New Roman" w:cs="Times New Roman"/>
                    </w:rPr>
                  </w:pPr>
                  <w:r w:rsidRPr="003505F7">
                    <w:rPr>
                      <w:rFonts w:ascii="Times New Roman" w:eastAsia="Times New Roman" w:hAnsi="Times New Roman" w:cs="Times New Roman"/>
                    </w:rPr>
                    <w:t xml:space="preserve">In </w:t>
                  </w:r>
                  <w:r>
                    <w:rPr>
                      <w:rFonts w:ascii="Times New Roman" w:eastAsia="Times New Roman" w:hAnsi="Times New Roman" w:cs="Times New Roman"/>
                    </w:rPr>
                    <w:t>UTI</w:t>
                  </w:r>
                  <w:r w:rsidRPr="003505F7">
                    <w:rPr>
                      <w:rFonts w:ascii="Times New Roman" w:eastAsia="Times New Roman" w:hAnsi="Times New Roman" w:cs="Times New Roman"/>
                    </w:rPr>
                    <w:t xml:space="preserve"> clinic</w:t>
                  </w:r>
                  <w:r>
                    <w:rPr>
                      <w:rFonts w:ascii="Times New Roman" w:eastAsia="Times New Roman" w:hAnsi="Times New Roman" w:cs="Times New Roman"/>
                    </w:rPr>
                    <w:t>, all patients received</w:t>
                  </w:r>
                  <w:r w:rsidRPr="003505F7">
                    <w:rPr>
                      <w:rFonts w:ascii="Times New Roman" w:eastAsia="Times New Roman" w:hAnsi="Times New Roman" w:cs="Times New Roman"/>
                    </w:rPr>
                    <w:t xml:space="preserve"> cystitis preventive measures</w:t>
                  </w:r>
                  <w:r>
                    <w:rPr>
                      <w:rFonts w:ascii="Times New Roman" w:eastAsia="Times New Roman" w:hAnsi="Times New Roman" w:cs="Times New Roman"/>
                    </w:rPr>
                    <w:t>. 84% patients were managed with combination of 1</w:t>
                  </w:r>
                  <w:r w:rsidRPr="003A7EF9">
                    <w:rPr>
                      <w:rFonts w:ascii="Times New Roman" w:eastAsia="Times New Roman" w:hAnsi="Times New Roman" w:cs="Times New Roman"/>
                      <w:vertAlign w:val="superscript"/>
                    </w:rPr>
                    <w:t>st</w:t>
                  </w:r>
                  <w:r>
                    <w:rPr>
                      <w:rFonts w:ascii="Times New Roman" w:eastAsia="Times New Roman" w:hAnsi="Times New Roman" w:cs="Times New Roman"/>
                    </w:rPr>
                    <w:t xml:space="preserve"> &amp; 2</w:t>
                  </w:r>
                  <w:r w:rsidRPr="003A7EF9">
                    <w:rPr>
                      <w:rFonts w:ascii="Times New Roman" w:eastAsia="Times New Roman" w:hAnsi="Times New Roman" w:cs="Times New Roman"/>
                      <w:vertAlign w:val="superscript"/>
                    </w:rPr>
                    <w:t>nd</w:t>
                  </w:r>
                  <w:r>
                    <w:rPr>
                      <w:rFonts w:ascii="Times New Roman" w:eastAsia="Times New Roman" w:hAnsi="Times New Roman" w:cs="Times New Roman"/>
                    </w:rPr>
                    <w:t xml:space="preserve"> line treatment including Methenamine Hippurate:59%,</w:t>
                  </w:r>
                  <w:r w:rsidRPr="00C878E8">
                    <w:rPr>
                      <w:rFonts w:ascii="Times New Roman" w:eastAsia="Times New Roman" w:hAnsi="Times New Roman" w:cs="Times New Roman"/>
                    </w:rPr>
                    <w:t xml:space="preserve"> </w:t>
                  </w:r>
                  <w:r>
                    <w:rPr>
                      <w:rFonts w:ascii="Times New Roman" w:eastAsia="Times New Roman" w:hAnsi="Times New Roman" w:cs="Times New Roman"/>
                    </w:rPr>
                    <w:t xml:space="preserve">prophylactic antibiotics:59 cases &amp; </w:t>
                  </w:r>
                  <w:r w:rsidRPr="003505F7">
                    <w:rPr>
                      <w:rFonts w:ascii="Times New Roman" w:eastAsia="Times New Roman" w:hAnsi="Times New Roman" w:cs="Times New Roman"/>
                    </w:rPr>
                    <w:t xml:space="preserve">topical </w:t>
                  </w:r>
                  <w:proofErr w:type="spellStart"/>
                  <w:r w:rsidRPr="003505F7">
                    <w:rPr>
                      <w:rFonts w:ascii="Times New Roman" w:eastAsia="Times New Roman" w:hAnsi="Times New Roman" w:cs="Times New Roman"/>
                    </w:rPr>
                    <w:t>estrogen</w:t>
                  </w:r>
                  <w:proofErr w:type="spellEnd"/>
                  <w:r w:rsidRPr="003505F7">
                    <w:rPr>
                      <w:rFonts w:ascii="Times New Roman" w:eastAsia="Times New Roman" w:hAnsi="Times New Roman" w:cs="Times New Roman"/>
                    </w:rPr>
                    <w:t xml:space="preserve"> cream</w:t>
                  </w:r>
                  <w:r>
                    <w:rPr>
                      <w:rFonts w:ascii="Times New Roman" w:eastAsia="Times New Roman" w:hAnsi="Times New Roman" w:cs="Times New Roman"/>
                    </w:rPr>
                    <w:t xml:space="preserve">: </w:t>
                  </w:r>
                  <w:r w:rsidRPr="003505F7">
                    <w:rPr>
                      <w:rFonts w:ascii="Times New Roman" w:eastAsia="Times New Roman" w:hAnsi="Times New Roman" w:cs="Times New Roman"/>
                    </w:rPr>
                    <w:t>46 cases</w:t>
                  </w:r>
                  <w:r>
                    <w:rPr>
                      <w:rFonts w:ascii="Times New Roman" w:eastAsia="Times New Roman" w:hAnsi="Times New Roman" w:cs="Times New Roman"/>
                    </w:rPr>
                    <w:t>}.19 patients required intravesical instillations. Post-</w:t>
                  </w:r>
                  <w:r w:rsidRPr="003505F7">
                    <w:rPr>
                      <w:rFonts w:ascii="Times New Roman" w:eastAsia="Times New Roman" w:hAnsi="Times New Roman" w:cs="Times New Roman"/>
                    </w:rPr>
                    <w:t>treatment,</w:t>
                  </w:r>
                  <w:r>
                    <w:rPr>
                      <w:rFonts w:ascii="Times New Roman" w:eastAsia="Times New Roman" w:hAnsi="Times New Roman" w:cs="Times New Roman"/>
                    </w:rPr>
                    <w:t xml:space="preserve">96 % patients reported significant symptom improvement on PGI-I score with 60% reporting </w:t>
                  </w:r>
                  <w:proofErr w:type="spellStart"/>
                  <w:r>
                    <w:rPr>
                      <w:rFonts w:ascii="Times New Roman" w:eastAsia="Times New Roman" w:hAnsi="Times New Roman" w:cs="Times New Roman"/>
                    </w:rPr>
                    <w:t>complte</w:t>
                  </w:r>
                  <w:proofErr w:type="spellEnd"/>
                  <w:r w:rsidRPr="003505F7">
                    <w:rPr>
                      <w:rFonts w:ascii="Times New Roman" w:eastAsia="Times New Roman" w:hAnsi="Times New Roman" w:cs="Times New Roman"/>
                    </w:rPr>
                    <w:t xml:space="preserve"> UTI resolution</w:t>
                  </w:r>
                  <w:r>
                    <w:rPr>
                      <w:rFonts w:ascii="Times New Roman" w:eastAsia="Times New Roman" w:hAnsi="Times New Roman" w:cs="Times New Roman"/>
                    </w:rPr>
                    <w:t>.</w:t>
                  </w:r>
                </w:p>
                <w:p w:rsidR="00AE20D8" w:rsidRPr="00AE4551" w:rsidRDefault="00AE20D8" w:rsidP="00AE20D8">
                  <w:pPr>
                    <w:spacing w:after="0" w:line="240" w:lineRule="auto"/>
                  </w:pPr>
                </w:p>
              </w:tc>
            </w:tr>
            <w:tr w:rsidR="00AE20D8" w:rsidTr="00AE20D8">
              <w:trPr>
                <w:trHeight w:val="539"/>
              </w:trPr>
              <w:tc>
                <w:tcPr>
                  <w:tcW w:w="8079" w:type="dxa"/>
                  <w:gridSpan w:val="2"/>
                  <w:tcBorders>
                    <w:top w:val="single" w:sz="4" w:space="0" w:color="auto"/>
                    <w:left w:val="single" w:sz="4" w:space="0" w:color="auto"/>
                    <w:bottom w:val="single" w:sz="4" w:space="0" w:color="auto"/>
                    <w:right w:val="single" w:sz="4" w:space="0" w:color="auto"/>
                  </w:tcBorders>
                  <w:shd w:val="clear" w:color="auto" w:fill="D9D9D9"/>
                </w:tcPr>
                <w:p w:rsidR="00AE20D8" w:rsidRPr="002C4BEF" w:rsidRDefault="00AE20D8" w:rsidP="00AE20D8">
                  <w:pPr>
                    <w:spacing w:after="0" w:line="240" w:lineRule="auto"/>
                    <w:rPr>
                      <w:rFonts w:ascii="Times New Roman" w:eastAsia="Times New Roman" w:hAnsi="Times New Roman" w:cs="Times New Roman"/>
                      <w:sz w:val="24"/>
                      <w:szCs w:val="24"/>
                    </w:rPr>
                  </w:pPr>
                  <w:r w:rsidRPr="00851873">
                    <w:rPr>
                      <w:b/>
                      <w:bCs/>
                    </w:rPr>
                    <w:t>Conclusion:</w:t>
                  </w:r>
                  <w:r>
                    <w:rPr>
                      <w:b/>
                      <w:bCs/>
                    </w:rPr>
                    <w:t xml:space="preserve"> </w:t>
                  </w:r>
                  <w:r w:rsidRPr="002C4BEF">
                    <w:rPr>
                      <w:rFonts w:ascii="Times New Roman" w:eastAsia="Times New Roman" w:hAnsi="Times New Roman" w:cs="Times New Roman"/>
                      <w:sz w:val="24"/>
                      <w:szCs w:val="24"/>
                    </w:rPr>
                    <w:t xml:space="preserve">Prioritize simple conventional </w:t>
                  </w:r>
                  <w:r>
                    <w:rPr>
                      <w:rFonts w:ascii="Times New Roman" w:eastAsia="Times New Roman" w:hAnsi="Times New Roman" w:cs="Times New Roman"/>
                      <w:sz w:val="24"/>
                      <w:szCs w:val="24"/>
                    </w:rPr>
                    <w:t xml:space="preserve">treatment for </w:t>
                  </w:r>
                  <w:r w:rsidRPr="002C4BEF">
                    <w:rPr>
                      <w:rFonts w:ascii="Times New Roman" w:eastAsia="Times New Roman" w:hAnsi="Times New Roman" w:cs="Times New Roman"/>
                      <w:sz w:val="24"/>
                      <w:szCs w:val="24"/>
                    </w:rPr>
                    <w:t xml:space="preserve">post-menopausal </w:t>
                  </w:r>
                  <w:proofErr w:type="spellStart"/>
                  <w:r>
                    <w:rPr>
                      <w:rFonts w:ascii="Times New Roman" w:eastAsia="Times New Roman" w:hAnsi="Times New Roman" w:cs="Times New Roman"/>
                      <w:sz w:val="24"/>
                      <w:szCs w:val="24"/>
                    </w:rPr>
                    <w:t>r</w:t>
                  </w:r>
                  <w:r w:rsidRPr="002C4BEF">
                    <w:rPr>
                      <w:rFonts w:ascii="Times New Roman" w:eastAsia="Times New Roman" w:hAnsi="Times New Roman" w:cs="Times New Roman"/>
                      <w:sz w:val="24"/>
                      <w:szCs w:val="24"/>
                    </w:rPr>
                    <w:t>UTI</w:t>
                  </w:r>
                  <w:proofErr w:type="spellEnd"/>
                  <w:r w:rsidRPr="002C4BEF">
                    <w:rPr>
                      <w:rFonts w:ascii="Times New Roman" w:eastAsia="Times New Roman" w:hAnsi="Times New Roman" w:cs="Times New Roman"/>
                      <w:sz w:val="24"/>
                      <w:szCs w:val="24"/>
                    </w:rPr>
                    <w:t xml:space="preserve"> before specialist referral</w:t>
                  </w:r>
                </w:p>
              </w:tc>
            </w:tr>
          </w:tbl>
          <w:p w:rsidR="00D33466" w:rsidRDefault="00D33466">
            <w:pPr>
              <w:pStyle w:val="Default"/>
              <w:rPr>
                <w:sz w:val="23"/>
                <w:szCs w:val="23"/>
              </w:rPr>
            </w:pPr>
          </w:p>
        </w:tc>
      </w:tr>
      <w:tr w:rsidR="00D33466">
        <w:trPr>
          <w:trHeight w:val="1298"/>
        </w:trPr>
        <w:tc>
          <w:tcPr>
            <w:tcW w:w="8343" w:type="dxa"/>
            <w:gridSpan w:val="2"/>
          </w:tcPr>
          <w:p w:rsidR="00D33466" w:rsidRDefault="00D33466">
            <w:pPr>
              <w:pStyle w:val="Default"/>
              <w:rPr>
                <w:sz w:val="23"/>
                <w:szCs w:val="23"/>
              </w:rPr>
            </w:pPr>
          </w:p>
        </w:tc>
      </w:tr>
      <w:tr w:rsidR="00D33466">
        <w:trPr>
          <w:trHeight w:val="1152"/>
        </w:trPr>
        <w:tc>
          <w:tcPr>
            <w:tcW w:w="8343" w:type="dxa"/>
            <w:gridSpan w:val="2"/>
          </w:tcPr>
          <w:p w:rsidR="00D33466" w:rsidRDefault="00D33466">
            <w:pPr>
              <w:pStyle w:val="Default"/>
              <w:rPr>
                <w:sz w:val="23"/>
                <w:szCs w:val="23"/>
              </w:rPr>
            </w:pPr>
          </w:p>
        </w:tc>
      </w:tr>
      <w:tr w:rsidR="00D33466">
        <w:trPr>
          <w:trHeight w:val="120"/>
        </w:trPr>
        <w:tc>
          <w:tcPr>
            <w:tcW w:w="8343" w:type="dxa"/>
            <w:gridSpan w:val="2"/>
          </w:tcPr>
          <w:p w:rsidR="00D33466" w:rsidRDefault="00D33466">
            <w:pPr>
              <w:pStyle w:val="Default"/>
              <w:rPr>
                <w:sz w:val="23"/>
                <w:szCs w:val="23"/>
              </w:rPr>
            </w:pPr>
          </w:p>
        </w:tc>
      </w:tr>
    </w:tbl>
    <w:p w:rsidR="00D33466" w:rsidRPr="00D33466" w:rsidRDefault="00D33466" w:rsidP="00D33466"/>
    <w:sectPr w:rsidR="00D33466" w:rsidRPr="00D33466">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77B9" w:rsidRDefault="00AD77B9" w:rsidP="00D33466">
      <w:pPr>
        <w:spacing w:after="0" w:line="240" w:lineRule="auto"/>
      </w:pPr>
      <w:r>
        <w:separator/>
      </w:r>
    </w:p>
  </w:endnote>
  <w:endnote w:type="continuationSeparator" w:id="0">
    <w:p w:rsidR="00AD77B9" w:rsidRDefault="00AD77B9" w:rsidP="00D33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sic Roman">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77B9" w:rsidRDefault="00AD77B9" w:rsidP="00D33466">
      <w:pPr>
        <w:spacing w:after="0" w:line="240" w:lineRule="auto"/>
      </w:pPr>
      <w:r>
        <w:separator/>
      </w:r>
    </w:p>
  </w:footnote>
  <w:footnote w:type="continuationSeparator" w:id="0">
    <w:p w:rsidR="00AD77B9" w:rsidRDefault="00AD77B9" w:rsidP="00D334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3466" w:rsidRDefault="00D33466" w:rsidP="00D33466">
    <w:pPr>
      <w:pStyle w:val="Header"/>
      <w:jc w:val="right"/>
    </w:pPr>
    <w:r>
      <w:rPr>
        <w:rFonts w:eastAsia="Times New Roman"/>
        <w:noProof/>
        <w:lang w:eastAsia="en-GB"/>
      </w:rPr>
      <w:drawing>
        <wp:inline distT="0" distB="0" distL="0" distR="0" wp14:anchorId="2C8A5D1A" wp14:editId="53228284">
          <wp:extent cx="2607182" cy="886488"/>
          <wp:effectExtent l="0" t="0" r="3175" b="8890"/>
          <wp:docPr id="1" name="Picture 1" descr="cid:C28803DD-1832-42F6-BEC0-F1C259E4E4B2@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F8780AA-91C4-43AA-A060-96A45836AD3D" descr="cid:C28803DD-1832-42F6-BEC0-F1C259E4E4B2@Home"/>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2611277" cy="8878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F4706"/>
    <w:multiLevelType w:val="hybridMultilevel"/>
    <w:tmpl w:val="4920E7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D986D12"/>
    <w:multiLevelType w:val="hybridMultilevel"/>
    <w:tmpl w:val="04F236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BB62D2"/>
    <w:multiLevelType w:val="hybridMultilevel"/>
    <w:tmpl w:val="A37EA650"/>
    <w:lvl w:ilvl="0" w:tplc="EAA2CD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210551C"/>
    <w:multiLevelType w:val="hybridMultilevel"/>
    <w:tmpl w:val="8C5894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466"/>
    <w:rsid w:val="001A44C0"/>
    <w:rsid w:val="001C6DD0"/>
    <w:rsid w:val="002329C6"/>
    <w:rsid w:val="00557C6A"/>
    <w:rsid w:val="009E15EA"/>
    <w:rsid w:val="00A35C2A"/>
    <w:rsid w:val="00AD77B9"/>
    <w:rsid w:val="00AE20D8"/>
    <w:rsid w:val="00B63747"/>
    <w:rsid w:val="00BC1934"/>
    <w:rsid w:val="00BD0793"/>
    <w:rsid w:val="00D33466"/>
    <w:rsid w:val="00EC2E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8999D"/>
  <w15:chartTrackingRefBased/>
  <w15:docId w15:val="{A9DFEB31-0F5D-47C1-BBFC-8623089BA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346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34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3466"/>
  </w:style>
  <w:style w:type="paragraph" w:styleId="Footer">
    <w:name w:val="footer"/>
    <w:basedOn w:val="Normal"/>
    <w:link w:val="FooterChar"/>
    <w:uiPriority w:val="99"/>
    <w:unhideWhenUsed/>
    <w:rsid w:val="00D334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3466"/>
  </w:style>
  <w:style w:type="paragraph" w:styleId="NoSpacing">
    <w:name w:val="No Spacing"/>
    <w:uiPriority w:val="1"/>
    <w:qFormat/>
    <w:rsid w:val="00D33466"/>
    <w:pPr>
      <w:spacing w:after="0" w:line="240" w:lineRule="auto"/>
    </w:pPr>
  </w:style>
  <w:style w:type="character" w:styleId="Strong">
    <w:name w:val="Strong"/>
    <w:basedOn w:val="DefaultParagraphFont"/>
    <w:uiPriority w:val="22"/>
    <w:qFormat/>
    <w:rsid w:val="00D33466"/>
    <w:rPr>
      <w:b/>
      <w:bCs/>
    </w:rPr>
  </w:style>
  <w:style w:type="table" w:styleId="TableGrid">
    <w:name w:val="Table Grid"/>
    <w:basedOn w:val="TableNormal"/>
    <w:uiPriority w:val="59"/>
    <w:rsid w:val="00D33466"/>
    <w:pPr>
      <w:spacing w:after="0" w:line="240" w:lineRule="auto"/>
    </w:pPr>
    <w:rPr>
      <w:rFonts w:eastAsiaTheme="minorEastAsia"/>
      <w:sz w:val="24"/>
      <w:szCs w:val="24"/>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D33466"/>
    <w:pPr>
      <w:spacing w:before="100" w:beforeAutospacing="1" w:after="100" w:afterAutospacing="1" w:line="240" w:lineRule="auto"/>
    </w:pPr>
    <w:rPr>
      <w:rFonts w:ascii="Times New Roman" w:hAnsi="Times New Roman" w:cs="Times New Roman"/>
      <w:sz w:val="24"/>
      <w:szCs w:val="24"/>
      <w:lang w:eastAsia="en-GB"/>
    </w:rPr>
  </w:style>
  <w:style w:type="paragraph" w:customStyle="1" w:styleId="Body">
    <w:name w:val="Body"/>
    <w:rsid w:val="00D33466"/>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14:textOutline w14:w="0" w14:cap="flat" w14:cmpd="sng" w14:algn="ctr">
        <w14:noFill/>
        <w14:prstDash w14:val="solid"/>
        <w14:bevel/>
      </w14:textOutline>
    </w:rPr>
  </w:style>
  <w:style w:type="paragraph" w:styleId="ListParagraph">
    <w:name w:val="List Paragraph"/>
    <w:basedOn w:val="Normal"/>
    <w:uiPriority w:val="34"/>
    <w:qFormat/>
    <w:rsid w:val="00D33466"/>
    <w:pPr>
      <w:spacing w:after="0" w:line="240" w:lineRule="auto"/>
      <w:ind w:left="720"/>
      <w:contextualSpacing/>
    </w:pPr>
    <w:rPr>
      <w:sz w:val="24"/>
      <w:szCs w:val="24"/>
    </w:rPr>
  </w:style>
  <w:style w:type="paragraph" w:customStyle="1" w:styleId="Default">
    <w:name w:val="Default"/>
    <w:rsid w:val="00D3346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cid:C28803DD-1832-42F6-BEC0-F1C259E4E4B2@Home" TargetMode="External"/><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9914</Words>
  <Characters>56514</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
    </vt:vector>
  </TitlesOfParts>
  <Company>Newcastle Upon Tyne Hospital Trust</Company>
  <LinksUpToDate>false</LinksUpToDate>
  <CharactersWithSpaces>66296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Kirkup, Fay</dc:creator>
  <cp:keywords/>
  <dc:description/>
  <cp:lastModifiedBy>Kirkup, Fay</cp:lastModifiedBy>
  <cp:revision>2</cp:revision>
  <dcterms:created xsi:type="dcterms:W3CDTF">2024-10-28T16:51:00Z</dcterms:created>
  <dcterms:modified xsi:type="dcterms:W3CDTF">2024-10-28T16:51:00Z</dcterms:modified>
</cp:coreProperties>
</file>