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7B05" w14:textId="77777777" w:rsidR="00C71FDA" w:rsidRDefault="00C71FDA"/>
    <w:p w14:paraId="00585074" w14:textId="77777777" w:rsidR="00624259" w:rsidRDefault="00624259"/>
    <w:p w14:paraId="57131941" w14:textId="77777777" w:rsidR="00757CD4" w:rsidRDefault="00757CD4"/>
    <w:p w14:paraId="12BCA56A" w14:textId="77777777" w:rsidR="00757CD4" w:rsidRDefault="00757CD4"/>
    <w:p w14:paraId="6A228A5A" w14:textId="77777777" w:rsidR="00624259" w:rsidRPr="00757CD4" w:rsidRDefault="00757CD4" w:rsidP="00757CD4">
      <w:pPr>
        <w:jc w:val="center"/>
        <w:rPr>
          <w:b/>
          <w:sz w:val="56"/>
          <w:szCs w:val="56"/>
        </w:rPr>
      </w:pPr>
      <w:r w:rsidRPr="00757CD4">
        <w:rPr>
          <w:b/>
          <w:sz w:val="56"/>
          <w:szCs w:val="56"/>
        </w:rPr>
        <w:t>North of England Urological Society</w:t>
      </w:r>
    </w:p>
    <w:p w14:paraId="4A229D66" w14:textId="77777777" w:rsidR="00757CD4" w:rsidRDefault="00757CD4" w:rsidP="00757CD4">
      <w:pPr>
        <w:jc w:val="center"/>
        <w:rPr>
          <w:b/>
          <w:sz w:val="56"/>
          <w:szCs w:val="56"/>
        </w:rPr>
      </w:pPr>
    </w:p>
    <w:p w14:paraId="08ED26BB" w14:textId="77777777" w:rsidR="00A85893" w:rsidRDefault="00757CD4" w:rsidP="00757CD4">
      <w:pPr>
        <w:jc w:val="center"/>
        <w:rPr>
          <w:b/>
          <w:sz w:val="56"/>
          <w:szCs w:val="56"/>
        </w:rPr>
      </w:pPr>
      <w:r w:rsidRPr="00757CD4">
        <w:rPr>
          <w:b/>
          <w:sz w:val="56"/>
          <w:szCs w:val="56"/>
        </w:rPr>
        <w:t>Annual Meeting</w:t>
      </w:r>
    </w:p>
    <w:p w14:paraId="2CFD31D1" w14:textId="6C836CAD" w:rsidR="00757CD4" w:rsidRDefault="00757CD4" w:rsidP="00757CD4">
      <w:pPr>
        <w:jc w:val="center"/>
        <w:rPr>
          <w:b/>
          <w:sz w:val="56"/>
          <w:szCs w:val="56"/>
        </w:rPr>
      </w:pPr>
      <w:r w:rsidRPr="00757CD4">
        <w:rPr>
          <w:b/>
          <w:sz w:val="56"/>
          <w:szCs w:val="56"/>
        </w:rPr>
        <w:t xml:space="preserve"> </w:t>
      </w:r>
    </w:p>
    <w:p w14:paraId="4B4DC505" w14:textId="301421E1" w:rsidR="00A85893" w:rsidRPr="00757CD4" w:rsidRDefault="009A3262" w:rsidP="00757CD4">
      <w:pPr>
        <w:jc w:val="center"/>
        <w:rPr>
          <w:b/>
          <w:sz w:val="56"/>
          <w:szCs w:val="56"/>
        </w:rPr>
      </w:pPr>
      <w:r>
        <w:rPr>
          <w:b/>
          <w:sz w:val="56"/>
          <w:szCs w:val="56"/>
        </w:rPr>
        <w:t>2</w:t>
      </w:r>
      <w:r w:rsidR="008B1902">
        <w:rPr>
          <w:b/>
          <w:sz w:val="56"/>
          <w:szCs w:val="56"/>
        </w:rPr>
        <w:t>9</w:t>
      </w:r>
      <w:r w:rsidR="00C71FDA" w:rsidRPr="00C71FDA">
        <w:rPr>
          <w:b/>
          <w:sz w:val="56"/>
          <w:szCs w:val="56"/>
          <w:vertAlign w:val="superscript"/>
        </w:rPr>
        <w:t>th</w:t>
      </w:r>
      <w:r w:rsidR="00C71FDA">
        <w:rPr>
          <w:b/>
          <w:sz w:val="56"/>
          <w:szCs w:val="56"/>
        </w:rPr>
        <w:t xml:space="preserve"> November 202</w:t>
      </w:r>
      <w:r w:rsidR="008B1902">
        <w:rPr>
          <w:b/>
          <w:sz w:val="56"/>
          <w:szCs w:val="56"/>
        </w:rPr>
        <w:t>4</w:t>
      </w:r>
    </w:p>
    <w:p w14:paraId="086CD7A6" w14:textId="77777777" w:rsidR="00757CD4" w:rsidRDefault="00757CD4" w:rsidP="00757CD4">
      <w:pPr>
        <w:jc w:val="center"/>
        <w:rPr>
          <w:b/>
          <w:sz w:val="56"/>
          <w:szCs w:val="56"/>
        </w:rPr>
      </w:pPr>
    </w:p>
    <w:p w14:paraId="5299C209" w14:textId="77777777" w:rsidR="00757CD4" w:rsidRDefault="00757CD4" w:rsidP="00757CD4">
      <w:pPr>
        <w:jc w:val="center"/>
        <w:rPr>
          <w:b/>
          <w:sz w:val="56"/>
          <w:szCs w:val="56"/>
        </w:rPr>
      </w:pPr>
      <w:r w:rsidRPr="00757CD4">
        <w:rPr>
          <w:b/>
          <w:sz w:val="56"/>
          <w:szCs w:val="56"/>
        </w:rPr>
        <w:t>Abstracts</w:t>
      </w:r>
    </w:p>
    <w:p w14:paraId="6FB5BF17" w14:textId="77777777" w:rsidR="00757CD4" w:rsidRDefault="00757CD4" w:rsidP="00757CD4">
      <w:pPr>
        <w:jc w:val="center"/>
        <w:rPr>
          <w:b/>
          <w:sz w:val="56"/>
          <w:szCs w:val="56"/>
        </w:rPr>
      </w:pPr>
    </w:p>
    <w:p w14:paraId="2A70BDCF" w14:textId="77777777" w:rsidR="00757CD4" w:rsidRDefault="00757CD4" w:rsidP="00757CD4">
      <w:pPr>
        <w:jc w:val="center"/>
        <w:rPr>
          <w:b/>
          <w:sz w:val="56"/>
          <w:szCs w:val="56"/>
        </w:rPr>
      </w:pPr>
    </w:p>
    <w:p w14:paraId="422E69C4" w14:textId="77777777" w:rsidR="00624259" w:rsidRDefault="00624259"/>
    <w:p w14:paraId="099C6D8E" w14:textId="77777777" w:rsidR="00E009BF" w:rsidRDefault="00E009BF"/>
    <w:p w14:paraId="595932D2" w14:textId="0CF38D68" w:rsidR="002D751E" w:rsidRDefault="00757CD4" w:rsidP="00A85893">
      <w:pPr>
        <w:ind w:left="720" w:firstLine="720"/>
      </w:pPr>
      <w:r>
        <w:t xml:space="preserve">       </w:t>
      </w:r>
      <w:r>
        <w:rPr>
          <w:noProof/>
          <w:lang w:eastAsia="en-GB"/>
        </w:rPr>
        <w:drawing>
          <wp:inline distT="0" distB="0" distL="0" distR="0" wp14:anchorId="5DD3A904" wp14:editId="1C07E555">
            <wp:extent cx="4226221" cy="1436444"/>
            <wp:effectExtent l="0" t="0" r="3175" b="0"/>
            <wp:docPr id="1" name="Picture 1"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291871" cy="1458758"/>
                    </a:xfrm>
                    <a:prstGeom prst="rect">
                      <a:avLst/>
                    </a:prstGeom>
                    <a:noFill/>
                    <a:ln>
                      <a:noFill/>
                    </a:ln>
                  </pic:spPr>
                </pic:pic>
              </a:graphicData>
            </a:graphic>
          </wp:inline>
        </w:drawing>
      </w:r>
    </w:p>
    <w:p w14:paraId="1F1367D2" w14:textId="77777777" w:rsidR="00E8303A" w:rsidRDefault="00E8303A" w:rsidP="00E8303A">
      <w:pPr>
        <w:spacing w:after="160" w:line="259" w:lineRule="auto"/>
        <w:rPr>
          <w:b/>
          <w:sz w:val="28"/>
          <w:szCs w:val="28"/>
          <w:u w:val="single"/>
        </w:rPr>
      </w:pPr>
    </w:p>
    <w:p w14:paraId="46829A36" w14:textId="5EA8F925" w:rsidR="00E8303A" w:rsidRPr="002E7112" w:rsidRDefault="00E8303A" w:rsidP="00E8303A">
      <w:pPr>
        <w:spacing w:after="0"/>
        <w:rPr>
          <w:rFonts w:ascii="Arial" w:hAnsi="Arial" w:cs="Arial"/>
          <w:b/>
          <w:sz w:val="24"/>
          <w:szCs w:val="24"/>
          <w:u w:val="single"/>
        </w:rPr>
      </w:pPr>
      <w:r w:rsidRPr="002E7112">
        <w:rPr>
          <w:rFonts w:ascii="Arial" w:hAnsi="Arial" w:cs="Arial"/>
          <w:b/>
          <w:sz w:val="24"/>
          <w:szCs w:val="24"/>
          <w:u w:val="single"/>
        </w:rPr>
        <w:t>Podium Presentations (1</w:t>
      </w:r>
      <w:r w:rsidR="00EE52E4" w:rsidRPr="002E7112">
        <w:rPr>
          <w:rFonts w:ascii="Arial" w:hAnsi="Arial" w:cs="Arial"/>
          <w:b/>
          <w:sz w:val="24"/>
          <w:szCs w:val="24"/>
          <w:u w:val="single"/>
        </w:rPr>
        <w:t>1:</w:t>
      </w:r>
      <w:r w:rsidR="008B1902">
        <w:rPr>
          <w:rFonts w:ascii="Arial" w:hAnsi="Arial" w:cs="Arial"/>
          <w:b/>
          <w:sz w:val="24"/>
          <w:szCs w:val="24"/>
          <w:u w:val="single"/>
        </w:rPr>
        <w:t>3</w:t>
      </w:r>
      <w:r w:rsidRPr="002E7112">
        <w:rPr>
          <w:rFonts w:ascii="Arial" w:hAnsi="Arial" w:cs="Arial"/>
          <w:b/>
          <w:sz w:val="24"/>
          <w:szCs w:val="24"/>
          <w:u w:val="single"/>
        </w:rPr>
        <w:t xml:space="preserve">0 – </w:t>
      </w:r>
      <w:r w:rsidR="008B1902">
        <w:rPr>
          <w:rFonts w:ascii="Arial" w:hAnsi="Arial" w:cs="Arial"/>
          <w:b/>
          <w:sz w:val="24"/>
          <w:szCs w:val="24"/>
          <w:u w:val="single"/>
        </w:rPr>
        <w:t>12:45</w:t>
      </w:r>
      <w:r w:rsidRPr="002E7112">
        <w:rPr>
          <w:rFonts w:ascii="Arial" w:hAnsi="Arial" w:cs="Arial"/>
          <w:b/>
          <w:sz w:val="24"/>
          <w:szCs w:val="24"/>
          <w:u w:val="single"/>
        </w:rPr>
        <w:t>)</w:t>
      </w:r>
      <w:r w:rsidR="009A3262" w:rsidRPr="002E7112">
        <w:rPr>
          <w:rFonts w:ascii="Arial" w:hAnsi="Arial" w:cs="Arial"/>
          <w:b/>
          <w:bCs/>
          <w:color w:val="242424"/>
          <w:sz w:val="20"/>
          <w:szCs w:val="20"/>
          <w:u w:val="single"/>
          <w:bdr w:val="none" w:sz="0" w:space="0" w:color="auto" w:frame="1"/>
          <w:shd w:val="clear" w:color="auto" w:fill="FFFFFF"/>
        </w:rPr>
        <w:t xml:space="preserve"> </w:t>
      </w:r>
      <w:proofErr w:type="gramStart"/>
      <w:r w:rsidR="009A3262" w:rsidRPr="002E7112">
        <w:rPr>
          <w:rFonts w:ascii="Arial" w:hAnsi="Arial" w:cs="Arial"/>
          <w:b/>
          <w:bCs/>
          <w:color w:val="242424"/>
          <w:sz w:val="20"/>
          <w:szCs w:val="20"/>
          <w:u w:val="single"/>
          <w:bdr w:val="none" w:sz="0" w:space="0" w:color="auto" w:frame="1"/>
          <w:shd w:val="clear" w:color="auto" w:fill="FFFFFF"/>
        </w:rPr>
        <w:t>–</w:t>
      </w:r>
      <w:r w:rsidR="009A3262" w:rsidRPr="002E7112">
        <w:rPr>
          <w:rFonts w:ascii="Arial" w:hAnsi="Arial" w:cs="Arial"/>
          <w:b/>
          <w:bCs/>
          <w:color w:val="242424"/>
          <w:sz w:val="20"/>
          <w:szCs w:val="20"/>
          <w:bdr w:val="none" w:sz="0" w:space="0" w:color="auto" w:frame="1"/>
          <w:shd w:val="clear" w:color="auto" w:fill="FFFFFF"/>
        </w:rPr>
        <w:t>  7</w:t>
      </w:r>
      <w:proofErr w:type="gramEnd"/>
      <w:r w:rsidR="009A3262" w:rsidRPr="002E7112">
        <w:rPr>
          <w:rFonts w:ascii="Arial" w:hAnsi="Arial" w:cs="Arial"/>
          <w:b/>
          <w:bCs/>
          <w:color w:val="242424"/>
          <w:sz w:val="20"/>
          <w:szCs w:val="20"/>
          <w:bdr w:val="none" w:sz="0" w:space="0" w:color="auto" w:frame="1"/>
          <w:shd w:val="clear" w:color="auto" w:fill="FFFFFF"/>
        </w:rPr>
        <w:t xml:space="preserve"> MINS for PRESENTATIONS</w:t>
      </w:r>
      <w:r w:rsidR="009A3262" w:rsidRPr="002E7112">
        <w:rPr>
          <w:rFonts w:ascii="Arial" w:hAnsi="Arial" w:cs="Arial"/>
          <w:color w:val="242424"/>
          <w:sz w:val="20"/>
          <w:szCs w:val="20"/>
          <w:bdr w:val="none" w:sz="0" w:space="0" w:color="auto" w:frame="1"/>
          <w:shd w:val="clear" w:color="auto" w:fill="FFFFFF"/>
        </w:rPr>
        <w:t> and then </w:t>
      </w:r>
      <w:r w:rsidR="009A3262" w:rsidRPr="002E7112">
        <w:rPr>
          <w:rFonts w:ascii="Arial" w:hAnsi="Arial" w:cs="Arial"/>
          <w:b/>
          <w:bCs/>
          <w:color w:val="242424"/>
          <w:sz w:val="20"/>
          <w:szCs w:val="20"/>
          <w:bdr w:val="none" w:sz="0" w:space="0" w:color="auto" w:frame="1"/>
          <w:shd w:val="clear" w:color="auto" w:fill="FFFFFF"/>
        </w:rPr>
        <w:t>2-3 MINS for QUESTIONS</w:t>
      </w:r>
    </w:p>
    <w:p w14:paraId="1B62E8EE" w14:textId="77777777" w:rsidR="00E8303A" w:rsidRPr="00AF00B7" w:rsidRDefault="00E8303A" w:rsidP="00E8303A">
      <w:pPr>
        <w:spacing w:after="0" w:line="240" w:lineRule="auto"/>
        <w:rPr>
          <w:rFonts w:ascii="Arial" w:hAnsi="Arial" w:cs="Arial"/>
          <w:b/>
          <w:sz w:val="28"/>
          <w:szCs w:val="28"/>
          <w:u w:val="single"/>
        </w:rPr>
      </w:pPr>
    </w:p>
    <w:p w14:paraId="3C8EA7BC" w14:textId="77777777" w:rsidR="00E8303A" w:rsidRPr="00AF00B7" w:rsidRDefault="00E8303A" w:rsidP="00E8303A">
      <w:pPr>
        <w:spacing w:after="0" w:line="240" w:lineRule="auto"/>
        <w:rPr>
          <w:rFonts w:ascii="Arial" w:hAnsi="Arial" w:cs="Arial"/>
          <w:b/>
          <w:sz w:val="24"/>
          <w:szCs w:val="24"/>
        </w:rPr>
      </w:pPr>
      <w:r w:rsidRPr="00AF00B7">
        <w:rPr>
          <w:rFonts w:ascii="Arial" w:hAnsi="Arial" w:cs="Arial"/>
          <w:b/>
          <w:sz w:val="24"/>
          <w:szCs w:val="24"/>
        </w:rPr>
        <w:t>Abstract 1</w:t>
      </w:r>
    </w:p>
    <w:p w14:paraId="47C5B6C1" w14:textId="38A1CC53" w:rsidR="00E8303A" w:rsidRDefault="00E8303A" w:rsidP="00E8303A">
      <w:pPr>
        <w:spacing w:after="0"/>
      </w:pPr>
    </w:p>
    <w:p w14:paraId="32286FA9" w14:textId="77777777" w:rsidR="008B1902" w:rsidRDefault="008B1902" w:rsidP="00E8303A">
      <w:pPr>
        <w:spacing w:after="0"/>
      </w:pP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3"/>
        <w:gridCol w:w="3513"/>
      </w:tblGrid>
      <w:tr w:rsidR="008B1902" w14:paraId="6EEE642A" w14:textId="77777777" w:rsidTr="008B1902">
        <w:tc>
          <w:tcPr>
            <w:tcW w:w="5503" w:type="dxa"/>
            <w:tcBorders>
              <w:top w:val="single" w:sz="4" w:space="0" w:color="auto"/>
              <w:left w:val="single" w:sz="4" w:space="0" w:color="auto"/>
              <w:bottom w:val="single" w:sz="4" w:space="0" w:color="auto"/>
              <w:right w:val="single" w:sz="4" w:space="0" w:color="auto"/>
            </w:tcBorders>
          </w:tcPr>
          <w:p w14:paraId="4F3E4F61" w14:textId="77777777" w:rsidR="008B1902" w:rsidRDefault="008B1902" w:rsidP="004D412D">
            <w:pPr>
              <w:spacing w:after="0" w:line="240" w:lineRule="auto"/>
            </w:pPr>
            <w:r>
              <w:rPr>
                <w:b/>
              </w:rPr>
              <w:t>Name of Presenter</w:t>
            </w:r>
            <w:r>
              <w:t xml:space="preserve">: </w:t>
            </w:r>
            <w:proofErr w:type="spellStart"/>
            <w:r>
              <w:t>Anshu</w:t>
            </w:r>
            <w:proofErr w:type="spellEnd"/>
            <w:r>
              <w:t xml:space="preserve"> Jha</w:t>
            </w:r>
          </w:p>
          <w:p w14:paraId="24782F08" w14:textId="77777777" w:rsidR="008B1902" w:rsidRDefault="008B1902" w:rsidP="004D412D">
            <w:pPr>
              <w:spacing w:after="0" w:line="240" w:lineRule="auto"/>
              <w:rPr>
                <w:rFonts w:cs="Times New Roman"/>
              </w:rPr>
            </w:pPr>
          </w:p>
        </w:tc>
        <w:tc>
          <w:tcPr>
            <w:tcW w:w="3513" w:type="dxa"/>
            <w:tcBorders>
              <w:top w:val="single" w:sz="4" w:space="0" w:color="auto"/>
              <w:left w:val="single" w:sz="4" w:space="0" w:color="auto"/>
              <w:bottom w:val="single" w:sz="4" w:space="0" w:color="auto"/>
              <w:right w:val="single" w:sz="4" w:space="0" w:color="auto"/>
            </w:tcBorders>
            <w:hideMark/>
          </w:tcPr>
          <w:p w14:paraId="31B103E0" w14:textId="77777777" w:rsidR="008B1902" w:rsidRDefault="008B1902" w:rsidP="004D412D">
            <w:pPr>
              <w:spacing w:after="0" w:line="240" w:lineRule="auto"/>
              <w:rPr>
                <w:rFonts w:cs="Times New Roman"/>
              </w:rPr>
            </w:pPr>
            <w:r>
              <w:rPr>
                <w:b/>
              </w:rPr>
              <w:t>Training grade/post</w:t>
            </w:r>
            <w:r>
              <w:t>: Urology ST4</w:t>
            </w:r>
          </w:p>
        </w:tc>
      </w:tr>
      <w:tr w:rsidR="008B1902" w14:paraId="02F886FB" w14:textId="77777777" w:rsidTr="008B1902">
        <w:tc>
          <w:tcPr>
            <w:tcW w:w="9016" w:type="dxa"/>
            <w:gridSpan w:val="2"/>
            <w:tcBorders>
              <w:top w:val="single" w:sz="4" w:space="0" w:color="auto"/>
              <w:left w:val="single" w:sz="4" w:space="0" w:color="auto"/>
              <w:bottom w:val="single" w:sz="4" w:space="0" w:color="auto"/>
              <w:right w:val="single" w:sz="4" w:space="0" w:color="auto"/>
            </w:tcBorders>
          </w:tcPr>
          <w:p w14:paraId="4A859D83" w14:textId="77777777" w:rsidR="008B1902" w:rsidRPr="00F73F6B" w:rsidRDefault="008B1902" w:rsidP="004D412D">
            <w:pPr>
              <w:spacing w:after="0" w:line="240" w:lineRule="auto"/>
            </w:pPr>
            <w:r>
              <w:rPr>
                <w:b/>
              </w:rPr>
              <w:t>Institution</w:t>
            </w:r>
            <w:r>
              <w:t>: Freeman Hospital</w:t>
            </w:r>
          </w:p>
        </w:tc>
      </w:tr>
      <w:tr w:rsidR="008B1902" w14:paraId="4B4A7FA5" w14:textId="77777777" w:rsidTr="008B1902">
        <w:trPr>
          <w:trHeight w:val="794"/>
        </w:trPr>
        <w:tc>
          <w:tcPr>
            <w:tcW w:w="9016" w:type="dxa"/>
            <w:gridSpan w:val="2"/>
            <w:tcBorders>
              <w:top w:val="single" w:sz="4" w:space="0" w:color="auto"/>
              <w:left w:val="single" w:sz="4" w:space="0" w:color="auto"/>
              <w:bottom w:val="single" w:sz="4" w:space="0" w:color="auto"/>
              <w:right w:val="single" w:sz="4" w:space="0" w:color="auto"/>
            </w:tcBorders>
          </w:tcPr>
          <w:p w14:paraId="135EFD3D" w14:textId="77777777" w:rsidR="008B1902" w:rsidRPr="00F73F6B" w:rsidRDefault="008B1902" w:rsidP="004D412D">
            <w:pPr>
              <w:pStyle w:val="NoSpacing"/>
              <w:rPr>
                <w:b/>
                <w:bCs/>
              </w:rPr>
            </w:pPr>
            <w:r w:rsidRPr="00F73F6B">
              <w:rPr>
                <w:b/>
                <w:bCs/>
              </w:rPr>
              <w:t xml:space="preserve">Title of Presentation: </w:t>
            </w:r>
          </w:p>
          <w:p w14:paraId="3E25CD87" w14:textId="77777777" w:rsidR="008B1902" w:rsidRPr="007B212B" w:rsidRDefault="008B1902" w:rsidP="004D412D">
            <w:pPr>
              <w:pStyle w:val="NoSpacing"/>
            </w:pPr>
            <w:r w:rsidRPr="007B212B">
              <w:t>Long term outcomes of expandable covered metal stents in the management of ureteric obstruction and injury</w:t>
            </w:r>
          </w:p>
        </w:tc>
      </w:tr>
      <w:tr w:rsidR="008B1902" w14:paraId="6B793617" w14:textId="77777777" w:rsidTr="008B1902">
        <w:trPr>
          <w:trHeight w:val="533"/>
        </w:trPr>
        <w:tc>
          <w:tcPr>
            <w:tcW w:w="9016" w:type="dxa"/>
            <w:gridSpan w:val="2"/>
            <w:tcBorders>
              <w:top w:val="single" w:sz="4" w:space="0" w:color="auto"/>
              <w:left w:val="single" w:sz="4" w:space="0" w:color="auto"/>
              <w:bottom w:val="single" w:sz="4" w:space="0" w:color="auto"/>
              <w:right w:val="single" w:sz="4" w:space="0" w:color="auto"/>
            </w:tcBorders>
          </w:tcPr>
          <w:p w14:paraId="040FC159" w14:textId="77777777" w:rsidR="008B1902" w:rsidRPr="00F73F6B" w:rsidRDefault="008B1902" w:rsidP="004D412D">
            <w:pPr>
              <w:spacing w:after="0" w:line="240" w:lineRule="auto"/>
            </w:pPr>
            <w:r>
              <w:rPr>
                <w:b/>
              </w:rPr>
              <w:t>Authors</w:t>
            </w:r>
            <w:r>
              <w:t xml:space="preserve">: </w:t>
            </w:r>
            <w:proofErr w:type="spellStart"/>
            <w:r w:rsidRPr="007B212B">
              <w:t>Anshu</w:t>
            </w:r>
            <w:proofErr w:type="spellEnd"/>
            <w:r w:rsidRPr="007B212B">
              <w:t xml:space="preserve"> Jha, Ahmed </w:t>
            </w:r>
            <w:proofErr w:type="spellStart"/>
            <w:r w:rsidRPr="007B212B">
              <w:t>Abroaf</w:t>
            </w:r>
            <w:proofErr w:type="spellEnd"/>
            <w:r w:rsidRPr="007B212B">
              <w:t xml:space="preserve">, Angus </w:t>
            </w:r>
            <w:proofErr w:type="spellStart"/>
            <w:r w:rsidRPr="007B212B">
              <w:t>Luk</w:t>
            </w:r>
            <w:proofErr w:type="spellEnd"/>
            <w:r w:rsidRPr="007B212B">
              <w:t xml:space="preserve">, John Fitzpatrick, Rob </w:t>
            </w:r>
            <w:proofErr w:type="spellStart"/>
            <w:r w:rsidRPr="007B212B">
              <w:t>Gerghaty</w:t>
            </w:r>
            <w:proofErr w:type="spellEnd"/>
            <w:r w:rsidRPr="007B212B">
              <w:t xml:space="preserve">, Will Fowler, Stefanie Croghan, </w:t>
            </w:r>
            <w:r>
              <w:t xml:space="preserve">Christoph </w:t>
            </w:r>
            <w:proofErr w:type="spellStart"/>
            <w:r>
              <w:t>Schregel</w:t>
            </w:r>
            <w:proofErr w:type="spellEnd"/>
            <w:r>
              <w:t xml:space="preserve">, </w:t>
            </w:r>
            <w:r w:rsidRPr="007B212B">
              <w:t xml:space="preserve">Rob Williams, Phil </w:t>
            </w:r>
            <w:proofErr w:type="gramStart"/>
            <w:r w:rsidRPr="007B212B">
              <w:t>Haslam,  John</w:t>
            </w:r>
            <w:proofErr w:type="gramEnd"/>
            <w:r w:rsidRPr="007B212B">
              <w:t xml:space="preserve"> Reicher, Trevor </w:t>
            </w:r>
            <w:proofErr w:type="spellStart"/>
            <w:r w:rsidRPr="007B212B">
              <w:t>Dorkin</w:t>
            </w:r>
            <w:proofErr w:type="spellEnd"/>
            <w:r w:rsidRPr="007B212B">
              <w:t>, David Rix,  Matthew Shaw, Alistair Rogers</w:t>
            </w:r>
          </w:p>
        </w:tc>
      </w:tr>
      <w:tr w:rsidR="008B1902" w14:paraId="09283A40" w14:textId="77777777" w:rsidTr="008B1902">
        <w:trPr>
          <w:trHeight w:val="572"/>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241D0A7E" w14:textId="77777777" w:rsidR="008B1902" w:rsidRPr="00DC5942" w:rsidRDefault="008B1902" w:rsidP="004D412D">
            <w:pPr>
              <w:pStyle w:val="NoSpacing"/>
              <w:rPr>
                <w:sz w:val="16"/>
                <w:szCs w:val="16"/>
              </w:rPr>
            </w:pPr>
            <w:r>
              <w:rPr>
                <w:b/>
              </w:rPr>
              <w:t>Aims</w:t>
            </w:r>
            <w:r>
              <w:t xml:space="preserve">: </w:t>
            </w:r>
            <w:r>
              <w:rPr>
                <w:sz w:val="16"/>
                <w:szCs w:val="16"/>
              </w:rPr>
              <w:t>To</w:t>
            </w:r>
            <w:r w:rsidRPr="007B212B">
              <w:rPr>
                <w:sz w:val="16"/>
                <w:szCs w:val="16"/>
              </w:rPr>
              <w:t xml:space="preserve"> assess longer-term outcomes</w:t>
            </w:r>
            <w:r>
              <w:rPr>
                <w:sz w:val="16"/>
                <w:szCs w:val="16"/>
              </w:rPr>
              <w:t xml:space="preserve"> of Allium stents</w:t>
            </w:r>
            <w:r w:rsidRPr="007B212B">
              <w:rPr>
                <w:sz w:val="16"/>
                <w:szCs w:val="16"/>
              </w:rPr>
              <w:t xml:space="preserve"> in our tertiary unit series</w:t>
            </w:r>
            <w:r>
              <w:rPr>
                <w:sz w:val="16"/>
                <w:szCs w:val="16"/>
              </w:rPr>
              <w:t xml:space="preserve"> for the management of complex ureteric obstructions and injuries.</w:t>
            </w:r>
          </w:p>
        </w:tc>
      </w:tr>
      <w:tr w:rsidR="008B1902" w14:paraId="7CCCD7F5"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674F5EBF" w14:textId="77777777" w:rsidR="008B1902" w:rsidRDefault="008B1902" w:rsidP="004D412D">
            <w:pPr>
              <w:spacing w:after="0" w:line="240" w:lineRule="auto"/>
            </w:pPr>
            <w:r>
              <w:rPr>
                <w:b/>
              </w:rPr>
              <w:t>Methods</w:t>
            </w:r>
            <w:r>
              <w:t>:</w:t>
            </w:r>
          </w:p>
          <w:p w14:paraId="6AF2B9C0" w14:textId="77777777" w:rsidR="008B1902" w:rsidRPr="007B212B" w:rsidRDefault="008B1902" w:rsidP="004D412D">
            <w:pPr>
              <w:jc w:val="both"/>
              <w:rPr>
                <w:sz w:val="16"/>
                <w:szCs w:val="16"/>
              </w:rPr>
            </w:pPr>
            <w:r w:rsidRPr="007B212B">
              <w:rPr>
                <w:rFonts w:ascii="Calibri" w:hAnsi="Calibri" w:cs="Calibri"/>
                <w:color w:val="000000"/>
                <w:sz w:val="16"/>
                <w:szCs w:val="16"/>
              </w:rPr>
              <w:t xml:space="preserve">A retrospective cohort study using a prospectively maintained database on all patients undergoing Allium ureteral stent (AUS) insertion (January 2015 </w:t>
            </w:r>
            <w:proofErr w:type="gramStart"/>
            <w:r w:rsidRPr="007B212B">
              <w:rPr>
                <w:rFonts w:ascii="Calibri" w:hAnsi="Calibri" w:cs="Calibri"/>
                <w:color w:val="000000"/>
                <w:sz w:val="16"/>
                <w:szCs w:val="16"/>
              </w:rPr>
              <w:t>-  December</w:t>
            </w:r>
            <w:proofErr w:type="gramEnd"/>
            <w:r w:rsidRPr="007B212B">
              <w:rPr>
                <w:rFonts w:ascii="Calibri" w:hAnsi="Calibri" w:cs="Calibri"/>
                <w:color w:val="000000"/>
                <w:sz w:val="16"/>
                <w:szCs w:val="16"/>
              </w:rPr>
              <w:t xml:space="preserve"> 2023) was performed. 121 stents were inserted in 113 patients. M</w:t>
            </w:r>
            <w:r w:rsidRPr="007B212B">
              <w:rPr>
                <w:rFonts w:ascii="Calibri" w:hAnsi="Calibri" w:cs="Calibri"/>
                <w:sz w:val="16"/>
                <w:szCs w:val="16"/>
              </w:rPr>
              <w:t xml:space="preserve">edian age was 61 years, comprising 48 males and 65 females. Indications were obstruction (n=93) and injury/leak (n=28) with benign disease in 63 patients and malignancy in 58. Stent </w:t>
            </w:r>
            <w:r w:rsidRPr="007B212B">
              <w:rPr>
                <w:rFonts w:ascii="Calibri" w:hAnsi="Calibri" w:cs="Calibri"/>
                <w:color w:val="000000"/>
                <w:sz w:val="16"/>
                <w:szCs w:val="16"/>
              </w:rPr>
              <w:t xml:space="preserve">‘Success' was defined as resolution of obstruction, patency at 1 year </w:t>
            </w:r>
            <w:proofErr w:type="gramStart"/>
            <w:r w:rsidRPr="007B212B">
              <w:rPr>
                <w:rFonts w:ascii="Calibri" w:hAnsi="Calibri" w:cs="Calibri"/>
                <w:color w:val="000000"/>
                <w:sz w:val="16"/>
                <w:szCs w:val="16"/>
              </w:rPr>
              <w:t>or  removal</w:t>
            </w:r>
            <w:proofErr w:type="gramEnd"/>
            <w:r w:rsidRPr="007B212B">
              <w:rPr>
                <w:rFonts w:ascii="Calibri" w:hAnsi="Calibri" w:cs="Calibri"/>
                <w:color w:val="000000"/>
                <w:sz w:val="16"/>
                <w:szCs w:val="16"/>
              </w:rPr>
              <w:t xml:space="preserve"> of Allium with no further intervention.</w:t>
            </w:r>
          </w:p>
        </w:tc>
      </w:tr>
      <w:tr w:rsidR="008B1902" w14:paraId="0C02E4A0"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5985D0B5" w14:textId="77777777" w:rsidR="008B1902" w:rsidRDefault="008B1902" w:rsidP="004D412D">
            <w:pPr>
              <w:spacing w:after="0" w:line="240" w:lineRule="auto"/>
              <w:rPr>
                <w:rFonts w:ascii="Calibri" w:hAnsi="Calibri" w:cs="Calibri"/>
                <w:sz w:val="16"/>
                <w:szCs w:val="16"/>
              </w:rPr>
            </w:pPr>
            <w:r>
              <w:rPr>
                <w:b/>
              </w:rPr>
              <w:t>Results</w:t>
            </w:r>
            <w:r>
              <w:t xml:space="preserve">: </w:t>
            </w:r>
            <w:r w:rsidRPr="007B212B">
              <w:rPr>
                <w:rFonts w:ascii="Calibri" w:hAnsi="Calibri" w:cs="Calibri"/>
                <w:color w:val="000000"/>
                <w:sz w:val="16"/>
                <w:szCs w:val="16"/>
              </w:rPr>
              <w:t xml:space="preserve">The median AUS implantation length was 303.5 days. </w:t>
            </w:r>
            <w:r w:rsidRPr="007B212B">
              <w:rPr>
                <w:rFonts w:ascii="Calibri" w:hAnsi="Calibri" w:cs="Calibri"/>
                <w:sz w:val="16"/>
                <w:szCs w:val="16"/>
              </w:rPr>
              <w:t xml:space="preserve">The location and cause of ureteric pathology is outlined in table 1. Most obstructive pathology were proximal and distal. 75% ureteric injury/leaks were distal. Overall success rates and migration rates were 68.6% and 18% respectively. </w:t>
            </w:r>
            <w:r w:rsidRPr="007B212B">
              <w:rPr>
                <w:rStyle w:val="Strong"/>
                <w:rFonts w:ascii="Calibri" w:eastAsiaTheme="majorEastAsia" w:hAnsi="Calibri" w:cs="Calibri"/>
                <w:sz w:val="16"/>
                <w:szCs w:val="16"/>
              </w:rPr>
              <w:t>Migration rates</w:t>
            </w:r>
            <w:r w:rsidRPr="007B212B">
              <w:rPr>
                <w:rFonts w:ascii="Calibri" w:hAnsi="Calibri" w:cs="Calibri"/>
                <w:sz w:val="16"/>
                <w:szCs w:val="16"/>
              </w:rPr>
              <w:t xml:space="preserve"> were higher in proximal </w:t>
            </w:r>
            <w:r w:rsidRPr="007B212B">
              <w:rPr>
                <w:rStyle w:val="Strong"/>
                <w:rFonts w:ascii="Calibri" w:eastAsiaTheme="majorEastAsia" w:hAnsi="Calibri" w:cs="Calibri"/>
                <w:sz w:val="16"/>
                <w:szCs w:val="16"/>
              </w:rPr>
              <w:t>benign ureteric obstructions</w:t>
            </w:r>
            <w:r w:rsidRPr="007B212B">
              <w:rPr>
                <w:rFonts w:ascii="Calibri" w:hAnsi="Calibri" w:cs="Calibri"/>
                <w:sz w:val="16"/>
                <w:szCs w:val="16"/>
              </w:rPr>
              <w:t xml:space="preserve"> (27.3%) and </w:t>
            </w:r>
            <w:r w:rsidRPr="007B212B">
              <w:rPr>
                <w:rStyle w:val="Strong"/>
                <w:rFonts w:ascii="Calibri" w:eastAsiaTheme="majorEastAsia" w:hAnsi="Calibri" w:cs="Calibri"/>
                <w:sz w:val="16"/>
                <w:szCs w:val="16"/>
              </w:rPr>
              <w:t>malignant ureteric injuries/leaks</w:t>
            </w:r>
            <w:r w:rsidRPr="007B212B">
              <w:rPr>
                <w:rFonts w:ascii="Calibri" w:hAnsi="Calibri" w:cs="Calibri"/>
                <w:sz w:val="16"/>
                <w:szCs w:val="16"/>
              </w:rPr>
              <w:t xml:space="preserve"> (35%). </w:t>
            </w:r>
            <w:r w:rsidRPr="007B212B">
              <w:rPr>
                <w:rStyle w:val="Strong"/>
                <w:rFonts w:ascii="Calibri" w:eastAsiaTheme="majorEastAsia" w:hAnsi="Calibri" w:cs="Calibri"/>
                <w:sz w:val="16"/>
                <w:szCs w:val="16"/>
              </w:rPr>
              <w:t>Encrustation rates</w:t>
            </w:r>
            <w:r w:rsidRPr="007B212B">
              <w:rPr>
                <w:rFonts w:ascii="Calibri" w:hAnsi="Calibri" w:cs="Calibri"/>
                <w:sz w:val="16"/>
                <w:szCs w:val="16"/>
              </w:rPr>
              <w:t xml:space="preserve"> were generally low across all categories. There was a 19% obstruction rate above or below the stent. </w:t>
            </w:r>
            <w:proofErr w:type="gramStart"/>
            <w:r w:rsidRPr="007B212B">
              <w:rPr>
                <w:rFonts w:ascii="Calibri" w:hAnsi="Calibri" w:cs="Calibri"/>
                <w:sz w:val="16"/>
                <w:szCs w:val="16"/>
              </w:rPr>
              <w:t>The majority of</w:t>
            </w:r>
            <w:proofErr w:type="gramEnd"/>
            <w:r w:rsidRPr="007B212B">
              <w:rPr>
                <w:rFonts w:ascii="Calibri" w:hAnsi="Calibri" w:cs="Calibri"/>
                <w:sz w:val="16"/>
                <w:szCs w:val="16"/>
              </w:rPr>
              <w:t xml:space="preserve"> failures occurred within the first 12 months. Only 3 stents were removed for symptoms.</w:t>
            </w:r>
          </w:p>
          <w:p w14:paraId="7DA48F95" w14:textId="77777777" w:rsidR="008B1902" w:rsidRDefault="008B1902" w:rsidP="004D412D">
            <w:pPr>
              <w:spacing w:after="0" w:line="240" w:lineRule="auto"/>
              <w:rPr>
                <w:rFonts w:ascii="Calibri" w:hAnsi="Calibri" w:cs="Calibri"/>
                <w:sz w:val="16"/>
                <w:szCs w:val="16"/>
              </w:rPr>
            </w:pPr>
          </w:p>
          <w:p w14:paraId="2D25538C" w14:textId="77777777" w:rsidR="008B1902" w:rsidRPr="00830B59" w:rsidRDefault="008B1902" w:rsidP="004D412D">
            <w:pPr>
              <w:spacing w:after="0" w:line="240" w:lineRule="auto"/>
              <w:rPr>
                <w:rFonts w:ascii="Calibri" w:hAnsi="Calibri" w:cs="Calibri"/>
                <w:sz w:val="16"/>
                <w:szCs w:val="16"/>
              </w:rPr>
            </w:pPr>
            <w:r w:rsidRPr="00DC5942">
              <w:rPr>
                <w:rFonts w:ascii="Calibri" w:hAnsi="Calibri" w:cs="Calibri"/>
                <w:noProof/>
                <w:sz w:val="16"/>
                <w:szCs w:val="16"/>
                <w:lang w:eastAsia="en-GB"/>
              </w:rPr>
              <w:drawing>
                <wp:inline distT="0" distB="0" distL="0" distR="0" wp14:anchorId="4065B32F" wp14:editId="1897EE8A">
                  <wp:extent cx="4010184" cy="1152939"/>
                  <wp:effectExtent l="0" t="0" r="3175" b="3175"/>
                  <wp:docPr id="705632270" name="Picture 1" descr="A table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32270" name="Picture 1" descr="A table with numbers and percentages&#10;&#10;Description automatically generated"/>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Lst>
                          </a:blip>
                          <a:stretch>
                            <a:fillRect/>
                          </a:stretch>
                        </pic:blipFill>
                        <pic:spPr>
                          <a:xfrm>
                            <a:off x="0" y="0"/>
                            <a:ext cx="4048646" cy="1163997"/>
                          </a:xfrm>
                          <a:prstGeom prst="rect">
                            <a:avLst/>
                          </a:prstGeom>
                          <a:solidFill>
                            <a:sysClr val="windowText" lastClr="000000"/>
                          </a:solidFill>
                        </pic:spPr>
                      </pic:pic>
                    </a:graphicData>
                  </a:graphic>
                </wp:inline>
              </w:drawing>
            </w:r>
          </w:p>
        </w:tc>
      </w:tr>
      <w:tr w:rsidR="008B1902" w14:paraId="47987FA5"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66097B88" w14:textId="77777777" w:rsidR="008B1902" w:rsidRDefault="008B1902" w:rsidP="004D412D">
            <w:pPr>
              <w:spacing w:after="0" w:line="240" w:lineRule="auto"/>
            </w:pPr>
            <w:r>
              <w:rPr>
                <w:b/>
              </w:rPr>
              <w:t>Conclusion</w:t>
            </w:r>
            <w:r>
              <w:t>:</w:t>
            </w:r>
          </w:p>
          <w:p w14:paraId="14D4ED18" w14:textId="77777777" w:rsidR="008B1902" w:rsidRPr="00DC5942" w:rsidRDefault="008B1902" w:rsidP="004D412D">
            <w:pPr>
              <w:rPr>
                <w:rFonts w:ascii="Calibri" w:hAnsi="Calibri" w:cs="Calibri"/>
              </w:rPr>
            </w:pPr>
            <w:r w:rsidRPr="00DC5942">
              <w:rPr>
                <w:rFonts w:ascii="Calibri" w:hAnsi="Calibri" w:cs="Calibri"/>
              </w:rPr>
              <w:t>This is the second largest series of Allium stents in the world literature and provides valuable insights into benefits and drawbacks of this novel technology.</w:t>
            </w:r>
          </w:p>
        </w:tc>
      </w:tr>
    </w:tbl>
    <w:p w14:paraId="35893997" w14:textId="77777777" w:rsidR="00E8303A" w:rsidRDefault="00E8303A" w:rsidP="00E8303A">
      <w:pPr>
        <w:spacing w:after="160" w:line="259" w:lineRule="auto"/>
        <w:rPr>
          <w:b/>
          <w:sz w:val="24"/>
          <w:szCs w:val="24"/>
        </w:rPr>
      </w:pPr>
      <w:r>
        <w:rPr>
          <w:b/>
          <w:sz w:val="24"/>
          <w:szCs w:val="24"/>
        </w:rPr>
        <w:br w:type="page"/>
      </w:r>
    </w:p>
    <w:p w14:paraId="6C732AE6" w14:textId="77777777" w:rsidR="00E8303A" w:rsidRDefault="00E8303A" w:rsidP="00E8303A">
      <w:pPr>
        <w:spacing w:after="0"/>
        <w:rPr>
          <w:b/>
          <w:sz w:val="28"/>
          <w:szCs w:val="28"/>
        </w:rPr>
      </w:pPr>
      <w:r w:rsidRPr="00FE3824">
        <w:rPr>
          <w:b/>
          <w:sz w:val="28"/>
          <w:szCs w:val="28"/>
        </w:rPr>
        <w:lastRenderedPageBreak/>
        <w:t>Abstract 2</w:t>
      </w:r>
    </w:p>
    <w:p w14:paraId="6188B948" w14:textId="678A66C0" w:rsidR="009A3262" w:rsidRDefault="009A3262" w:rsidP="00E8303A">
      <w:pPr>
        <w:spacing w:after="0"/>
        <w:rPr>
          <w:b/>
          <w:sz w:val="28"/>
          <w:szCs w:val="28"/>
        </w:rPr>
      </w:pPr>
    </w:p>
    <w:p w14:paraId="3DEB19C5" w14:textId="77777777" w:rsidR="008B1902" w:rsidRDefault="008B1902" w:rsidP="008B1902">
      <w:pPr>
        <w:spacing w:line="254" w:lineRule="auto"/>
        <w:rPr>
          <w:rFonts w:ascii="Calibri" w:hAnsi="Calibri" w:cs="Calibri"/>
          <w:b/>
          <w:bCs/>
        </w:rPr>
      </w:pPr>
      <w:r>
        <w:rPr>
          <w:b/>
          <w:sz w:val="28"/>
          <w:szCs w:val="28"/>
        </w:rPr>
        <w:tab/>
      </w:r>
      <w:r>
        <w:rPr>
          <w:rFonts w:ascii="Calibri" w:hAnsi="Calibri" w:cs="Calibri"/>
          <w:b/>
          <w:bCs/>
        </w:rPr>
        <w:t>Training grade/post: ST4</w:t>
      </w:r>
    </w:p>
    <w:p w14:paraId="7F486A96" w14:textId="77777777" w:rsidR="008B1902" w:rsidRDefault="008B1902" w:rsidP="008B1902">
      <w:pPr>
        <w:spacing w:line="254" w:lineRule="auto"/>
        <w:ind w:firstLine="720"/>
        <w:rPr>
          <w:rFonts w:ascii="Calibri" w:hAnsi="Calibri" w:cs="Calibri"/>
          <w:b/>
          <w:bCs/>
        </w:rPr>
      </w:pPr>
      <w:r>
        <w:rPr>
          <w:rFonts w:ascii="Calibri" w:hAnsi="Calibri" w:cs="Calibri"/>
          <w:b/>
          <w:bCs/>
        </w:rPr>
        <w:t>Institution: James Cook University Hospital</w:t>
      </w:r>
    </w:p>
    <w:p w14:paraId="182DFC66" w14:textId="77777777" w:rsidR="008B1902" w:rsidRDefault="008B1902" w:rsidP="008B1902">
      <w:pPr>
        <w:spacing w:line="254" w:lineRule="auto"/>
        <w:rPr>
          <w:rFonts w:ascii="Calibri" w:hAnsi="Calibri" w:cs="Calibri"/>
        </w:rPr>
      </w:pPr>
      <w:r>
        <w:rPr>
          <w:rFonts w:ascii="Calibri" w:hAnsi="Calibri" w:cs="Calibri"/>
        </w:rPr>
        <w:t> </w:t>
      </w:r>
    </w:p>
    <w:p w14:paraId="37388AEE" w14:textId="77777777" w:rsidR="008B1902" w:rsidRDefault="008B1902" w:rsidP="008B1902">
      <w:pPr>
        <w:spacing w:line="254" w:lineRule="auto"/>
        <w:ind w:left="720"/>
        <w:rPr>
          <w:rFonts w:ascii="Calibri" w:hAnsi="Calibri" w:cs="Calibri"/>
          <w:b/>
          <w:bCs/>
        </w:rPr>
      </w:pPr>
      <w:r>
        <w:rPr>
          <w:rFonts w:ascii="Calibri" w:hAnsi="Calibri" w:cs="Calibri"/>
          <w:b/>
          <w:bCs/>
        </w:rPr>
        <w:t xml:space="preserve">Title of Presentation: </w:t>
      </w:r>
      <w:proofErr w:type="spellStart"/>
      <w:r>
        <w:rPr>
          <w:rFonts w:ascii="Calibri" w:hAnsi="Calibri" w:cs="Calibri"/>
          <w:b/>
          <w:bCs/>
        </w:rPr>
        <w:t>OverPROMISe</w:t>
      </w:r>
      <w:proofErr w:type="spellEnd"/>
      <w:r>
        <w:rPr>
          <w:rFonts w:ascii="Calibri" w:hAnsi="Calibri" w:cs="Calibri"/>
          <w:b/>
          <w:bCs/>
        </w:rPr>
        <w:t xml:space="preserve"> and underdeliver?”; PIRADs-biopsy correlation: A local tertiary centre study</w:t>
      </w:r>
    </w:p>
    <w:p w14:paraId="0F3696F1" w14:textId="77777777" w:rsidR="008B1902" w:rsidRDefault="008B1902" w:rsidP="008B1902">
      <w:pPr>
        <w:spacing w:line="254" w:lineRule="auto"/>
        <w:ind w:firstLine="720"/>
        <w:rPr>
          <w:rFonts w:ascii="Calibri" w:hAnsi="Calibri" w:cs="Calibri"/>
          <w:b/>
          <w:bCs/>
        </w:rPr>
      </w:pPr>
      <w:r>
        <w:rPr>
          <w:rFonts w:ascii="Calibri" w:hAnsi="Calibri" w:cs="Calibri"/>
          <w:b/>
          <w:bCs/>
        </w:rPr>
        <w:t>Authors: Eunice</w:t>
      </w:r>
      <w:r>
        <w:rPr>
          <w:rFonts w:ascii="Calibri" w:hAnsi="Calibri" w:cs="Calibri"/>
          <w:b/>
          <w:bCs/>
          <w:color w:val="000000"/>
        </w:rPr>
        <w:t xml:space="preserve"> Ter</w:t>
      </w:r>
      <w:r>
        <w:rPr>
          <w:rFonts w:ascii="Calibri" w:hAnsi="Calibri" w:cs="Calibri"/>
          <w:b/>
          <w:bCs/>
        </w:rPr>
        <w:t xml:space="preserve"> </w:t>
      </w:r>
      <w:proofErr w:type="spellStart"/>
      <w:r>
        <w:rPr>
          <w:rFonts w:ascii="Calibri" w:hAnsi="Calibri" w:cs="Calibri"/>
          <w:b/>
          <w:bCs/>
        </w:rPr>
        <w:t>Zuling</w:t>
      </w:r>
      <w:proofErr w:type="spellEnd"/>
      <w:r>
        <w:rPr>
          <w:rFonts w:ascii="Calibri" w:hAnsi="Calibri" w:cs="Calibri"/>
          <w:b/>
          <w:bCs/>
        </w:rPr>
        <w:t xml:space="preserve">, </w:t>
      </w:r>
      <w:proofErr w:type="spellStart"/>
      <w:r>
        <w:rPr>
          <w:rFonts w:ascii="Calibri" w:hAnsi="Calibri" w:cs="Calibri"/>
          <w:b/>
          <w:bCs/>
        </w:rPr>
        <w:t>Hariprasad</w:t>
      </w:r>
      <w:proofErr w:type="spellEnd"/>
      <w:r>
        <w:rPr>
          <w:rFonts w:ascii="Calibri" w:hAnsi="Calibri" w:cs="Calibri"/>
          <w:b/>
          <w:bCs/>
        </w:rPr>
        <w:t xml:space="preserve"> Ganesan, Tom O’Hare</w:t>
      </w:r>
    </w:p>
    <w:p w14:paraId="66942CBE" w14:textId="2250E007" w:rsidR="008B1902" w:rsidRDefault="008B1902" w:rsidP="008B1902">
      <w:pPr>
        <w:spacing w:line="254" w:lineRule="auto"/>
        <w:rPr>
          <w:rFonts w:ascii="Calibri" w:hAnsi="Calibri" w:cs="Calibri"/>
        </w:rPr>
      </w:pPr>
      <w:r>
        <w:rPr>
          <w:rFonts w:ascii="Calibri" w:hAnsi="Calibri" w:cs="Calibri"/>
        </w:rPr>
        <w:t> </w:t>
      </w:r>
    </w:p>
    <w:p w14:paraId="5D856989" w14:textId="77777777" w:rsidR="008B1902" w:rsidRDefault="008B1902" w:rsidP="008B1902">
      <w:pPr>
        <w:spacing w:line="254" w:lineRule="auto"/>
        <w:ind w:left="720"/>
        <w:rPr>
          <w:rFonts w:ascii="Calibri" w:hAnsi="Calibri" w:cs="Calibri"/>
          <w:b/>
          <w:bCs/>
          <w:color w:val="000000"/>
        </w:rPr>
      </w:pPr>
      <w:r>
        <w:rPr>
          <w:rFonts w:ascii="Calibri" w:hAnsi="Calibri" w:cs="Calibri"/>
          <w:b/>
          <w:bCs/>
          <w:color w:val="000000"/>
        </w:rPr>
        <w:t xml:space="preserve">Aims: To assess the quality of MRI prostate reporting by correlation with </w:t>
      </w:r>
      <w:proofErr w:type="spellStart"/>
      <w:r>
        <w:rPr>
          <w:rFonts w:ascii="Calibri" w:hAnsi="Calibri" w:cs="Calibri"/>
          <w:b/>
          <w:bCs/>
          <w:color w:val="000000"/>
        </w:rPr>
        <w:t>transperineal</w:t>
      </w:r>
      <w:proofErr w:type="spellEnd"/>
      <w:r>
        <w:rPr>
          <w:rFonts w:ascii="Calibri" w:hAnsi="Calibri" w:cs="Calibri"/>
          <w:b/>
          <w:bCs/>
          <w:color w:val="000000"/>
        </w:rPr>
        <w:t xml:space="preserve"> biopsy of prostate (</w:t>
      </w:r>
      <w:proofErr w:type="spellStart"/>
      <w:r>
        <w:rPr>
          <w:rFonts w:ascii="Calibri" w:hAnsi="Calibri" w:cs="Calibri"/>
          <w:b/>
          <w:bCs/>
          <w:color w:val="000000"/>
        </w:rPr>
        <w:t>TPBx</w:t>
      </w:r>
      <w:proofErr w:type="spellEnd"/>
      <w:r>
        <w:rPr>
          <w:rFonts w:ascii="Calibri" w:hAnsi="Calibri" w:cs="Calibri"/>
          <w:b/>
          <w:bCs/>
          <w:color w:val="000000"/>
        </w:rPr>
        <w:t>) results</w:t>
      </w:r>
    </w:p>
    <w:p w14:paraId="622E97EA" w14:textId="13AF2425" w:rsidR="008B1902" w:rsidRDefault="008B1902" w:rsidP="008B1902">
      <w:pPr>
        <w:spacing w:line="254" w:lineRule="auto"/>
        <w:ind w:left="720"/>
        <w:rPr>
          <w:rFonts w:ascii="Calibri" w:hAnsi="Calibri" w:cs="Calibri"/>
          <w:b/>
          <w:bCs/>
          <w:color w:val="000000"/>
        </w:rPr>
      </w:pPr>
      <w:r>
        <w:rPr>
          <w:rFonts w:ascii="Calibri" w:hAnsi="Calibri" w:cs="Calibri"/>
          <w:b/>
          <w:bCs/>
          <w:color w:val="000000"/>
        </w:rPr>
        <w:t xml:space="preserve">Methods:  Retrospective study of all </w:t>
      </w:r>
      <w:proofErr w:type="spellStart"/>
      <w:r>
        <w:rPr>
          <w:rFonts w:ascii="Calibri" w:hAnsi="Calibri" w:cs="Calibri"/>
          <w:b/>
          <w:bCs/>
          <w:color w:val="000000"/>
        </w:rPr>
        <w:t>TPBx</w:t>
      </w:r>
      <w:proofErr w:type="spellEnd"/>
      <w:r>
        <w:rPr>
          <w:rFonts w:ascii="Calibri" w:hAnsi="Calibri" w:cs="Calibri"/>
          <w:b/>
          <w:bCs/>
          <w:color w:val="000000"/>
        </w:rPr>
        <w:t xml:space="preserve"> from September 2022 to September 2023. Patients who had incomplete data were excluded. Age, PSA value, PSA density (PSAD), PIRADS score and grade group from </w:t>
      </w:r>
      <w:proofErr w:type="spellStart"/>
      <w:r>
        <w:rPr>
          <w:rFonts w:ascii="Calibri" w:hAnsi="Calibri" w:cs="Calibri"/>
          <w:b/>
          <w:bCs/>
          <w:color w:val="000000"/>
        </w:rPr>
        <w:t>TPBx</w:t>
      </w:r>
      <w:proofErr w:type="spellEnd"/>
      <w:r>
        <w:rPr>
          <w:rFonts w:ascii="Calibri" w:hAnsi="Calibri" w:cs="Calibri"/>
          <w:b/>
          <w:bCs/>
          <w:color w:val="000000"/>
        </w:rPr>
        <w:t xml:space="preserve"> were collected. The percentage of clinically significant cancer, stratified by age and PIRADS scores was </w:t>
      </w:r>
      <w:proofErr w:type="spellStart"/>
      <w:r>
        <w:rPr>
          <w:rFonts w:ascii="Calibri" w:hAnsi="Calibri" w:cs="Calibri"/>
          <w:b/>
          <w:bCs/>
          <w:color w:val="000000"/>
        </w:rPr>
        <w:t>analyzed</w:t>
      </w:r>
      <w:proofErr w:type="spellEnd"/>
    </w:p>
    <w:p w14:paraId="410A4A60" w14:textId="77777777" w:rsidR="008B1902" w:rsidRDefault="008B1902" w:rsidP="008B1902">
      <w:pPr>
        <w:spacing w:line="254" w:lineRule="auto"/>
        <w:ind w:left="720"/>
        <w:rPr>
          <w:rFonts w:ascii="Calibri" w:hAnsi="Calibri" w:cs="Calibri"/>
          <w:b/>
          <w:bCs/>
          <w:color w:val="000000"/>
        </w:rPr>
      </w:pPr>
    </w:p>
    <w:p w14:paraId="3086E279" w14:textId="42D421C9" w:rsidR="008B1902" w:rsidRDefault="008B1902" w:rsidP="008B1902">
      <w:pPr>
        <w:spacing w:line="254" w:lineRule="auto"/>
        <w:ind w:left="720"/>
        <w:rPr>
          <w:rFonts w:ascii="Calibri" w:hAnsi="Calibri" w:cs="Calibri"/>
          <w:b/>
          <w:bCs/>
          <w:color w:val="000000"/>
        </w:rPr>
      </w:pPr>
      <w:r>
        <w:rPr>
          <w:rFonts w:ascii="Calibri" w:hAnsi="Calibri" w:cs="Calibri"/>
          <w:b/>
          <w:bCs/>
          <w:color w:val="000000"/>
        </w:rPr>
        <w:t xml:space="preserve">Results: 913 patients were included in the study. Detection rates for clinically significant cancer (&gt;=GG2) were 6%, 27%, 16%, 39% and 81% for PIRADS 1-5 respectively. Diagnostic rates for GG1 cancers were 6%, 11.5% 24%, 25% and 9.4%. For PIRADs 3 the rates of &gt;=GG2 were doubled for PSAD of ≥0.15 (25.5%) when compared with PSAD&lt;0.15 (12.5%). </w:t>
      </w:r>
    </w:p>
    <w:p w14:paraId="5F20FED9" w14:textId="0FDDBB14" w:rsidR="008B1902" w:rsidRDefault="008B1902" w:rsidP="008B1902">
      <w:pPr>
        <w:spacing w:line="254" w:lineRule="auto"/>
        <w:ind w:left="720"/>
        <w:rPr>
          <w:rFonts w:ascii="Calibri" w:hAnsi="Calibri" w:cs="Calibri"/>
          <w:b/>
          <w:bCs/>
          <w:color w:val="000000"/>
        </w:rPr>
      </w:pPr>
      <w:r>
        <w:rPr>
          <w:rFonts w:ascii="Calibri" w:hAnsi="Calibri" w:cs="Calibri"/>
          <w:b/>
          <w:bCs/>
          <w:color w:val="000000"/>
        </w:rPr>
        <w:tab/>
      </w:r>
    </w:p>
    <w:p w14:paraId="41AAF61A" w14:textId="77777777" w:rsidR="008B1902" w:rsidRDefault="008B1902" w:rsidP="008B1902">
      <w:pPr>
        <w:spacing w:line="254" w:lineRule="auto"/>
        <w:ind w:left="720"/>
        <w:rPr>
          <w:rFonts w:ascii="Calibri" w:hAnsi="Calibri" w:cs="Calibri"/>
          <w:b/>
          <w:bCs/>
          <w:color w:val="000000"/>
        </w:rPr>
      </w:pPr>
      <w:r>
        <w:rPr>
          <w:rFonts w:ascii="Calibri" w:hAnsi="Calibri" w:cs="Calibri"/>
          <w:b/>
          <w:bCs/>
          <w:color w:val="000000"/>
        </w:rPr>
        <w:t xml:space="preserve">Conclusion: Our first point is the low pick up of clinically significant cancer for PI-RAD 3 lesions; in fact, we are diagnosing more GG1 cancer than clinically significantly lesions (24% versus 16%).  While the data has not been fully presented here; the introduction of MRI has not led to the very large reduction in number of biopsies being performed that would have been expected, rather we are still diagnosing large numbers of GG1 prostate cancer.  This has huge implications for our patients and for the trust in general.  We feel it would be very helpful to compare our data with similar data from other trusts in the region. </w:t>
      </w:r>
    </w:p>
    <w:p w14:paraId="4394B395" w14:textId="56B01B7C" w:rsidR="008B1902" w:rsidRDefault="008B1902" w:rsidP="00E8303A">
      <w:pPr>
        <w:spacing w:after="0"/>
        <w:rPr>
          <w:b/>
          <w:sz w:val="28"/>
          <w:szCs w:val="28"/>
        </w:rPr>
      </w:pPr>
    </w:p>
    <w:p w14:paraId="16636AB0" w14:textId="7F00A7C4" w:rsidR="008B1902" w:rsidRDefault="008B1902" w:rsidP="00E8303A">
      <w:pPr>
        <w:spacing w:after="0"/>
        <w:rPr>
          <w:b/>
          <w:sz w:val="28"/>
          <w:szCs w:val="28"/>
        </w:rPr>
      </w:pPr>
    </w:p>
    <w:p w14:paraId="5731157E" w14:textId="11127664" w:rsidR="008B1902" w:rsidRDefault="008B1902" w:rsidP="00E8303A">
      <w:pPr>
        <w:spacing w:after="0"/>
        <w:rPr>
          <w:b/>
          <w:sz w:val="28"/>
          <w:szCs w:val="28"/>
        </w:rPr>
      </w:pPr>
    </w:p>
    <w:p w14:paraId="0C549839" w14:textId="24607789" w:rsidR="008B1902" w:rsidRDefault="008B1902" w:rsidP="00E8303A">
      <w:pPr>
        <w:spacing w:after="0"/>
        <w:rPr>
          <w:b/>
          <w:sz w:val="28"/>
          <w:szCs w:val="28"/>
        </w:rPr>
      </w:pPr>
    </w:p>
    <w:p w14:paraId="23D6786C" w14:textId="75D67CCE" w:rsidR="008B1902" w:rsidRDefault="008B1902" w:rsidP="00E8303A">
      <w:pPr>
        <w:spacing w:after="0"/>
        <w:rPr>
          <w:b/>
          <w:sz w:val="28"/>
          <w:szCs w:val="28"/>
        </w:rPr>
      </w:pPr>
    </w:p>
    <w:p w14:paraId="407EE62B" w14:textId="77777777" w:rsidR="008B1902" w:rsidRPr="00FE3824" w:rsidRDefault="008B1902" w:rsidP="00E8303A">
      <w:pPr>
        <w:spacing w:after="0"/>
        <w:rPr>
          <w:b/>
          <w:sz w:val="28"/>
          <w:szCs w:val="28"/>
        </w:rPr>
      </w:pPr>
    </w:p>
    <w:p w14:paraId="1941999E" w14:textId="77777777" w:rsidR="00E8303A" w:rsidRDefault="00E8303A" w:rsidP="00E8303A">
      <w:pPr>
        <w:spacing w:after="0"/>
        <w:rPr>
          <w:b/>
          <w:sz w:val="24"/>
          <w:szCs w:val="24"/>
        </w:rPr>
      </w:pPr>
    </w:p>
    <w:p w14:paraId="04AEF0C8" w14:textId="77777777" w:rsidR="00E8303A" w:rsidRDefault="00E8303A" w:rsidP="00E8303A">
      <w:pPr>
        <w:spacing w:after="0"/>
        <w:rPr>
          <w:b/>
          <w:sz w:val="24"/>
          <w:szCs w:val="24"/>
        </w:rPr>
      </w:pPr>
    </w:p>
    <w:p w14:paraId="4657ECD7" w14:textId="57081ABA" w:rsidR="00E8303A" w:rsidRDefault="00E8303A" w:rsidP="00E8303A">
      <w:pPr>
        <w:spacing w:after="0"/>
        <w:rPr>
          <w:b/>
          <w:sz w:val="24"/>
          <w:szCs w:val="24"/>
        </w:rPr>
      </w:pPr>
    </w:p>
    <w:p w14:paraId="3625D92F" w14:textId="77777777" w:rsidR="00E8303A" w:rsidRDefault="00E8303A" w:rsidP="00E8303A">
      <w:pPr>
        <w:spacing w:after="0"/>
        <w:rPr>
          <w:b/>
          <w:sz w:val="24"/>
          <w:szCs w:val="24"/>
        </w:rPr>
      </w:pPr>
    </w:p>
    <w:p w14:paraId="6509BB2F" w14:textId="77777777" w:rsidR="00E8303A" w:rsidRDefault="00E8303A" w:rsidP="00E8303A">
      <w:pPr>
        <w:spacing w:after="0"/>
        <w:rPr>
          <w:b/>
          <w:sz w:val="24"/>
          <w:szCs w:val="24"/>
        </w:rPr>
      </w:pPr>
    </w:p>
    <w:p w14:paraId="415EF57B" w14:textId="608F08AD" w:rsidR="00E8303A" w:rsidRPr="008B1902" w:rsidRDefault="008B1902" w:rsidP="00E8303A">
      <w:pPr>
        <w:spacing w:after="0"/>
        <w:rPr>
          <w:b/>
          <w:sz w:val="28"/>
          <w:szCs w:val="28"/>
        </w:rPr>
      </w:pPr>
      <w:r w:rsidRPr="008B1902">
        <w:rPr>
          <w:b/>
          <w:sz w:val="28"/>
          <w:szCs w:val="28"/>
        </w:rPr>
        <w:lastRenderedPageBreak/>
        <w:t>Abstract 3</w:t>
      </w:r>
    </w:p>
    <w:p w14:paraId="72FC4FBD" w14:textId="77777777" w:rsidR="00E8303A" w:rsidRDefault="00E8303A" w:rsidP="00E8303A">
      <w:pPr>
        <w:spacing w:after="0"/>
        <w:rPr>
          <w:b/>
          <w:sz w:val="24"/>
          <w:szCs w:val="24"/>
        </w:rPr>
      </w:pPr>
    </w:p>
    <w:p w14:paraId="7966778B" w14:textId="395EA44E" w:rsidR="00E8303A" w:rsidRPr="00FE3824" w:rsidRDefault="008B1902" w:rsidP="00E8303A">
      <w:pPr>
        <w:spacing w:after="0" w:line="240" w:lineRule="auto"/>
        <w:rPr>
          <w:b/>
          <w:sz w:val="28"/>
          <w:szCs w:val="28"/>
        </w:rPr>
      </w:pPr>
      <w:r>
        <w:rPr>
          <w:b/>
          <w:sz w:val="24"/>
          <w:szCs w:val="24"/>
        </w:rPr>
        <w:tab/>
      </w:r>
    </w:p>
    <w:tbl>
      <w:tblPr>
        <w:tblW w:w="0" w:type="auto"/>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8B1902" w14:paraId="1373C33F" w14:textId="77777777" w:rsidTr="008B1902">
        <w:tc>
          <w:tcPr>
            <w:tcW w:w="5637" w:type="dxa"/>
            <w:tcBorders>
              <w:top w:val="single" w:sz="4" w:space="0" w:color="auto"/>
              <w:left w:val="single" w:sz="4" w:space="0" w:color="auto"/>
              <w:bottom w:val="single" w:sz="4" w:space="0" w:color="auto"/>
              <w:right w:val="single" w:sz="4" w:space="0" w:color="auto"/>
            </w:tcBorders>
          </w:tcPr>
          <w:p w14:paraId="2295FBF9" w14:textId="77777777" w:rsidR="008B1902" w:rsidRPr="00CF40DA" w:rsidRDefault="008B1902" w:rsidP="004D412D">
            <w:pPr>
              <w:spacing w:after="0" w:line="240" w:lineRule="auto"/>
            </w:pPr>
            <w:r>
              <w:rPr>
                <w:b/>
              </w:rPr>
              <w:t>Name of Presenter</w:t>
            </w:r>
            <w:r>
              <w:t>: Eleanor Whyte</w:t>
            </w:r>
          </w:p>
        </w:tc>
        <w:tc>
          <w:tcPr>
            <w:tcW w:w="3605" w:type="dxa"/>
            <w:tcBorders>
              <w:top w:val="single" w:sz="4" w:space="0" w:color="auto"/>
              <w:left w:val="single" w:sz="4" w:space="0" w:color="auto"/>
              <w:bottom w:val="single" w:sz="4" w:space="0" w:color="auto"/>
              <w:right w:val="single" w:sz="4" w:space="0" w:color="auto"/>
            </w:tcBorders>
            <w:hideMark/>
          </w:tcPr>
          <w:p w14:paraId="6EF04AD5" w14:textId="77777777" w:rsidR="008B1902" w:rsidRDefault="008B1902" w:rsidP="004D412D">
            <w:pPr>
              <w:spacing w:after="0" w:line="240" w:lineRule="auto"/>
              <w:rPr>
                <w:rFonts w:cs="Times New Roman"/>
              </w:rPr>
            </w:pPr>
            <w:r>
              <w:rPr>
                <w:b/>
              </w:rPr>
              <w:t>Training grade/post</w:t>
            </w:r>
            <w:r>
              <w:t>: ST5</w:t>
            </w:r>
          </w:p>
        </w:tc>
      </w:tr>
      <w:tr w:rsidR="008B1902" w14:paraId="73C0C2D2" w14:textId="77777777" w:rsidTr="008B1902">
        <w:tc>
          <w:tcPr>
            <w:tcW w:w="9242" w:type="dxa"/>
            <w:gridSpan w:val="2"/>
            <w:tcBorders>
              <w:top w:val="single" w:sz="4" w:space="0" w:color="auto"/>
              <w:left w:val="single" w:sz="4" w:space="0" w:color="auto"/>
              <w:bottom w:val="single" w:sz="4" w:space="0" w:color="auto"/>
              <w:right w:val="single" w:sz="4" w:space="0" w:color="auto"/>
            </w:tcBorders>
          </w:tcPr>
          <w:p w14:paraId="5B15F0B9" w14:textId="77777777" w:rsidR="008B1902" w:rsidRPr="00CF40DA" w:rsidRDefault="008B1902" w:rsidP="004D412D">
            <w:pPr>
              <w:spacing w:after="0" w:line="240" w:lineRule="auto"/>
            </w:pPr>
            <w:r>
              <w:rPr>
                <w:b/>
              </w:rPr>
              <w:t>Institution</w:t>
            </w:r>
            <w:r>
              <w:t>: Department of Urology, Freeman Hospital</w:t>
            </w:r>
          </w:p>
        </w:tc>
      </w:tr>
      <w:tr w:rsidR="008B1902" w14:paraId="7A545A18" w14:textId="77777777" w:rsidTr="008B1902">
        <w:tc>
          <w:tcPr>
            <w:tcW w:w="9242" w:type="dxa"/>
            <w:gridSpan w:val="2"/>
            <w:tcBorders>
              <w:top w:val="single" w:sz="4" w:space="0" w:color="auto"/>
              <w:left w:val="single" w:sz="4" w:space="0" w:color="auto"/>
              <w:bottom w:val="single" w:sz="4" w:space="0" w:color="auto"/>
              <w:right w:val="single" w:sz="4" w:space="0" w:color="auto"/>
            </w:tcBorders>
          </w:tcPr>
          <w:p w14:paraId="44FED56B" w14:textId="77777777" w:rsidR="008B1902" w:rsidRDefault="008B1902" w:rsidP="004D412D">
            <w:pPr>
              <w:spacing w:after="0" w:line="240" w:lineRule="auto"/>
            </w:pPr>
            <w:r>
              <w:rPr>
                <w:b/>
              </w:rPr>
              <w:t>Title of Presentation</w:t>
            </w:r>
            <w:r>
              <w:t xml:space="preserve">: </w:t>
            </w:r>
          </w:p>
          <w:p w14:paraId="7F4E4FB2" w14:textId="77777777" w:rsidR="008B1902" w:rsidRPr="00CF40DA" w:rsidRDefault="008B1902" w:rsidP="004D412D">
            <w:pPr>
              <w:spacing w:after="0" w:line="240" w:lineRule="auto"/>
            </w:pPr>
            <w:r>
              <w:t>Sacral Neuromodulation at the Freeman Hospital 2017 -2024: a retrospective data analysis</w:t>
            </w:r>
          </w:p>
        </w:tc>
      </w:tr>
      <w:tr w:rsidR="008B1902" w14:paraId="6F4E1EF9" w14:textId="77777777" w:rsidTr="008B1902">
        <w:tc>
          <w:tcPr>
            <w:tcW w:w="9242" w:type="dxa"/>
            <w:gridSpan w:val="2"/>
            <w:tcBorders>
              <w:top w:val="single" w:sz="4" w:space="0" w:color="auto"/>
              <w:left w:val="single" w:sz="4" w:space="0" w:color="auto"/>
              <w:bottom w:val="single" w:sz="4" w:space="0" w:color="auto"/>
              <w:right w:val="single" w:sz="4" w:space="0" w:color="auto"/>
            </w:tcBorders>
          </w:tcPr>
          <w:p w14:paraId="1111436E" w14:textId="77777777" w:rsidR="008B1902" w:rsidRDefault="008B1902" w:rsidP="004D412D">
            <w:pPr>
              <w:spacing w:after="0" w:line="240" w:lineRule="auto"/>
            </w:pPr>
            <w:r>
              <w:rPr>
                <w:b/>
              </w:rPr>
              <w:t>Authors</w:t>
            </w:r>
            <w:r>
              <w:t>:</w:t>
            </w:r>
          </w:p>
          <w:p w14:paraId="5E549E6A" w14:textId="77777777" w:rsidR="008B1902" w:rsidRPr="00CF40DA" w:rsidRDefault="008B1902" w:rsidP="004D412D">
            <w:pPr>
              <w:spacing w:after="0" w:line="240" w:lineRule="auto"/>
            </w:pPr>
            <w:r>
              <w:t xml:space="preserve">Eleanor Whyte, </w:t>
            </w:r>
            <w:proofErr w:type="spellStart"/>
            <w:r>
              <w:t>Neehar</w:t>
            </w:r>
            <w:proofErr w:type="spellEnd"/>
            <w:r>
              <w:t xml:space="preserve"> Shetty, Victoria Lavin</w:t>
            </w:r>
          </w:p>
        </w:tc>
      </w:tr>
      <w:tr w:rsidR="008B1902" w14:paraId="747D3615" w14:textId="77777777" w:rsidTr="008B1902">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30727D3" w14:textId="77777777" w:rsidR="008B1902" w:rsidRDefault="008B1902" w:rsidP="004D412D">
            <w:pPr>
              <w:spacing w:after="0" w:line="240" w:lineRule="auto"/>
            </w:pPr>
            <w:r>
              <w:rPr>
                <w:b/>
              </w:rPr>
              <w:t>Aims</w:t>
            </w:r>
            <w:r>
              <w:t>:</w:t>
            </w:r>
          </w:p>
          <w:p w14:paraId="648F9CBF" w14:textId="77777777" w:rsidR="008B1902" w:rsidRPr="004243EF" w:rsidRDefault="008B1902" w:rsidP="004D412D">
            <w:pPr>
              <w:spacing w:after="0" w:line="240" w:lineRule="auto"/>
            </w:pPr>
            <w:r>
              <w:t xml:space="preserve">This study aimed to retrospectively analyse peripheral nerve evaluation (PNE) and Sacral Neuromodulation (SNS) data at the Freeman Hospital between 2017-2024. </w:t>
            </w:r>
          </w:p>
        </w:tc>
      </w:tr>
      <w:tr w:rsidR="008B1902" w14:paraId="2E97A33B" w14:textId="77777777" w:rsidTr="008B1902">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290B6A6" w14:textId="77777777" w:rsidR="008B1902" w:rsidRDefault="008B1902" w:rsidP="004D412D">
            <w:pPr>
              <w:spacing w:after="0" w:line="240" w:lineRule="auto"/>
            </w:pPr>
            <w:r>
              <w:rPr>
                <w:b/>
              </w:rPr>
              <w:t>Methods</w:t>
            </w:r>
            <w:r>
              <w:t>:</w:t>
            </w:r>
          </w:p>
          <w:p w14:paraId="04BBAAE4" w14:textId="77777777" w:rsidR="008B1902" w:rsidRPr="00985013" w:rsidRDefault="008B1902" w:rsidP="004D412D">
            <w:pPr>
              <w:spacing w:after="0" w:line="240" w:lineRule="auto"/>
            </w:pPr>
            <w:r>
              <w:t>Electronic data were reviewed for patients who had undergone index neuromodulation procedures between 1/1/2017 and 30/6/2024 which included patient demographics and operation details. Descriptive statistics were calculated using SPSS.</w:t>
            </w:r>
          </w:p>
        </w:tc>
      </w:tr>
      <w:tr w:rsidR="008B1902" w14:paraId="2DF31037" w14:textId="77777777" w:rsidTr="008B1902">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A5DD3F6" w14:textId="77777777" w:rsidR="008B1902" w:rsidRDefault="008B1902" w:rsidP="004D412D">
            <w:pPr>
              <w:spacing w:after="0" w:line="240" w:lineRule="auto"/>
            </w:pPr>
            <w:r>
              <w:rPr>
                <w:b/>
              </w:rPr>
              <w:t>Results</w:t>
            </w:r>
            <w:r>
              <w:t>:</w:t>
            </w:r>
          </w:p>
          <w:p w14:paraId="4C993E2D" w14:textId="77777777" w:rsidR="008B1902" w:rsidRPr="004243EF" w:rsidRDefault="008B1902" w:rsidP="004D412D">
            <w:pPr>
              <w:spacing w:after="0" w:line="240" w:lineRule="auto"/>
            </w:pPr>
            <w:r>
              <w:t xml:space="preserve">490 patients with a median age of 48 years underwent PNE. The average number of trials per patient was 1.67 and 241 (49%) were converted to permanent SNS implant. The median number of days between the final trial and SNS implant was 203. Fifty-seven patients (23.7%) had at least one change to their device with an average of 1.4 changes per person. The most common intervention was a lead replacement. There was an average of 666 days between SNS insertion and a device change. Twenty-five (10.4%) devices were explanted with an average of 560 days between insertion and </w:t>
            </w:r>
            <w:proofErr w:type="spellStart"/>
            <w:r>
              <w:t>explantation</w:t>
            </w:r>
            <w:proofErr w:type="spellEnd"/>
            <w:r>
              <w:t xml:space="preserve">. Four (16%) people who had their devices explanted had the device re-inserted with an average of 297 days until re-insertion. One person (25%) had their device re-explanted following re-insertion after 1410 days. </w:t>
            </w:r>
          </w:p>
        </w:tc>
      </w:tr>
      <w:tr w:rsidR="008B1902" w14:paraId="406E85AB" w14:textId="77777777" w:rsidTr="008B1902">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0C1D144" w14:textId="77777777" w:rsidR="008B1902" w:rsidRDefault="008B1902" w:rsidP="004D412D">
            <w:pPr>
              <w:spacing w:after="0" w:line="240" w:lineRule="auto"/>
            </w:pPr>
            <w:r>
              <w:rPr>
                <w:b/>
              </w:rPr>
              <w:t>Conclusion</w:t>
            </w:r>
            <w:r>
              <w:t>:</w:t>
            </w:r>
          </w:p>
          <w:p w14:paraId="0685FBE4" w14:textId="77777777" w:rsidR="008B1902" w:rsidRDefault="008B1902" w:rsidP="004D412D">
            <w:pPr>
              <w:spacing w:after="0" w:line="240" w:lineRule="auto"/>
            </w:pPr>
            <w:r>
              <w:t xml:space="preserve">This study, which is the largest UK series to date, provides new insight into PNE and SNS services at the Freeman Hospital between 2017-2024. These data show conversion rates are lower than most published series could be due to reduction of the significant placebo effect from devices by </w:t>
            </w:r>
            <w:proofErr w:type="gramStart"/>
            <w:r>
              <w:t>the majority of</w:t>
            </w:r>
            <w:proofErr w:type="gramEnd"/>
            <w:r>
              <w:t xml:space="preserve"> patients having more than one trial. The findings can be used to help with patient counselling.</w:t>
            </w:r>
          </w:p>
          <w:p w14:paraId="03A13058" w14:textId="77777777" w:rsidR="008B1902" w:rsidRDefault="008B1902" w:rsidP="004D412D">
            <w:pPr>
              <w:spacing w:after="0" w:line="240" w:lineRule="auto"/>
              <w:rPr>
                <w:rFonts w:cs="Times New Roman"/>
              </w:rPr>
            </w:pPr>
          </w:p>
          <w:p w14:paraId="5D1D19AA" w14:textId="0C50678C" w:rsidR="008B1902" w:rsidRDefault="008B1902" w:rsidP="004D412D">
            <w:pPr>
              <w:spacing w:after="0" w:line="240" w:lineRule="auto"/>
              <w:rPr>
                <w:rFonts w:cs="Times New Roman"/>
              </w:rPr>
            </w:pPr>
          </w:p>
        </w:tc>
      </w:tr>
    </w:tbl>
    <w:p w14:paraId="714B9689" w14:textId="77777777" w:rsidR="00E8303A" w:rsidRDefault="00E8303A" w:rsidP="00E8303A">
      <w:pPr>
        <w:spacing w:after="0" w:line="240" w:lineRule="auto"/>
        <w:rPr>
          <w:b/>
          <w:sz w:val="24"/>
          <w:szCs w:val="24"/>
        </w:rPr>
      </w:pPr>
    </w:p>
    <w:p w14:paraId="7BDAF902" w14:textId="77777777" w:rsidR="00E8303A" w:rsidRDefault="00E8303A" w:rsidP="00E8303A">
      <w:pPr>
        <w:spacing w:after="0" w:line="240" w:lineRule="auto"/>
        <w:rPr>
          <w:b/>
          <w:sz w:val="24"/>
          <w:szCs w:val="24"/>
        </w:rPr>
      </w:pPr>
    </w:p>
    <w:p w14:paraId="1A8FA9A8" w14:textId="77777777" w:rsidR="00E8303A" w:rsidRDefault="00E8303A" w:rsidP="00E8303A">
      <w:pPr>
        <w:spacing w:after="0" w:line="240" w:lineRule="auto"/>
        <w:rPr>
          <w:b/>
          <w:sz w:val="24"/>
          <w:szCs w:val="24"/>
        </w:rPr>
      </w:pPr>
    </w:p>
    <w:p w14:paraId="1857620A" w14:textId="77777777" w:rsidR="00E8303A" w:rsidRDefault="00E8303A" w:rsidP="00E8303A">
      <w:pPr>
        <w:spacing w:after="0" w:line="240" w:lineRule="auto"/>
        <w:rPr>
          <w:b/>
          <w:sz w:val="24"/>
          <w:szCs w:val="24"/>
        </w:rPr>
      </w:pPr>
    </w:p>
    <w:p w14:paraId="6B58DD71" w14:textId="77777777" w:rsidR="00E8303A" w:rsidRDefault="00E8303A" w:rsidP="00E8303A">
      <w:pPr>
        <w:spacing w:after="0" w:line="240" w:lineRule="auto"/>
        <w:rPr>
          <w:b/>
          <w:sz w:val="24"/>
          <w:szCs w:val="24"/>
        </w:rPr>
      </w:pPr>
    </w:p>
    <w:p w14:paraId="4B3420A6" w14:textId="77777777" w:rsidR="00E8303A" w:rsidRDefault="00E8303A" w:rsidP="00E8303A">
      <w:pPr>
        <w:spacing w:after="0" w:line="240" w:lineRule="auto"/>
        <w:rPr>
          <w:b/>
          <w:sz w:val="24"/>
          <w:szCs w:val="24"/>
        </w:rPr>
      </w:pPr>
    </w:p>
    <w:p w14:paraId="29D57006" w14:textId="77777777" w:rsidR="00E8303A" w:rsidRDefault="00E8303A" w:rsidP="00E8303A">
      <w:pPr>
        <w:spacing w:after="0" w:line="240" w:lineRule="auto"/>
        <w:rPr>
          <w:b/>
          <w:sz w:val="24"/>
          <w:szCs w:val="24"/>
        </w:rPr>
      </w:pPr>
    </w:p>
    <w:p w14:paraId="7C376959" w14:textId="77777777" w:rsidR="00E8303A" w:rsidRDefault="00E8303A" w:rsidP="00E8303A">
      <w:pPr>
        <w:spacing w:after="0" w:line="240" w:lineRule="auto"/>
        <w:rPr>
          <w:b/>
          <w:sz w:val="24"/>
          <w:szCs w:val="24"/>
        </w:rPr>
      </w:pPr>
    </w:p>
    <w:p w14:paraId="74D16CFF" w14:textId="77777777" w:rsidR="00E8303A" w:rsidRDefault="00E8303A" w:rsidP="00E8303A">
      <w:pPr>
        <w:spacing w:after="0" w:line="240" w:lineRule="auto"/>
        <w:rPr>
          <w:b/>
          <w:sz w:val="24"/>
          <w:szCs w:val="24"/>
        </w:rPr>
      </w:pPr>
    </w:p>
    <w:p w14:paraId="214F619C" w14:textId="77777777" w:rsidR="00E8303A" w:rsidRDefault="00E8303A" w:rsidP="00E8303A">
      <w:pPr>
        <w:spacing w:after="0" w:line="240" w:lineRule="auto"/>
        <w:rPr>
          <w:b/>
          <w:sz w:val="24"/>
          <w:szCs w:val="24"/>
        </w:rPr>
      </w:pPr>
    </w:p>
    <w:p w14:paraId="7D605198" w14:textId="77777777" w:rsidR="00E8303A" w:rsidRDefault="00E8303A" w:rsidP="00E8303A">
      <w:pPr>
        <w:spacing w:after="160" w:line="259" w:lineRule="auto"/>
        <w:rPr>
          <w:b/>
          <w:sz w:val="24"/>
          <w:szCs w:val="24"/>
        </w:rPr>
      </w:pPr>
      <w:r>
        <w:rPr>
          <w:b/>
          <w:sz w:val="24"/>
          <w:szCs w:val="24"/>
        </w:rPr>
        <w:br w:type="page"/>
      </w:r>
    </w:p>
    <w:p w14:paraId="73272FB3" w14:textId="77777777" w:rsidR="00E8303A" w:rsidRDefault="00E8303A" w:rsidP="00E8303A">
      <w:pPr>
        <w:spacing w:after="0" w:line="240" w:lineRule="auto"/>
        <w:rPr>
          <w:b/>
          <w:sz w:val="24"/>
          <w:szCs w:val="24"/>
        </w:rPr>
      </w:pPr>
    </w:p>
    <w:p w14:paraId="415DCD0E" w14:textId="77777777" w:rsidR="00E8303A" w:rsidRPr="00AF00B7" w:rsidRDefault="00E8303A" w:rsidP="00E8303A">
      <w:pPr>
        <w:spacing w:after="0" w:line="240" w:lineRule="auto"/>
        <w:rPr>
          <w:rFonts w:ascii="Arial" w:hAnsi="Arial" w:cs="Arial"/>
          <w:b/>
          <w:sz w:val="24"/>
          <w:szCs w:val="24"/>
        </w:rPr>
      </w:pPr>
      <w:r w:rsidRPr="00AF00B7">
        <w:rPr>
          <w:rFonts w:ascii="Arial" w:hAnsi="Arial" w:cs="Arial"/>
          <w:b/>
          <w:sz w:val="24"/>
          <w:szCs w:val="24"/>
        </w:rPr>
        <w:t>Abstract 4</w:t>
      </w:r>
    </w:p>
    <w:p w14:paraId="469062A2" w14:textId="77777777" w:rsidR="00E8303A" w:rsidRDefault="00E8303A" w:rsidP="00E8303A">
      <w:pPr>
        <w:spacing w:after="0" w:line="240" w:lineRule="auto"/>
        <w:rPr>
          <w:b/>
        </w:rPr>
      </w:pPr>
    </w:p>
    <w:tbl>
      <w:tblPr>
        <w:tblStyle w:val="TableGrid"/>
        <w:tblW w:w="10348" w:type="dxa"/>
        <w:tblInd w:w="-5" w:type="dxa"/>
        <w:tblLayout w:type="fixed"/>
        <w:tblLook w:val="06A0" w:firstRow="1" w:lastRow="0" w:firstColumn="1" w:lastColumn="0" w:noHBand="1" w:noVBand="1"/>
      </w:tblPr>
      <w:tblGrid>
        <w:gridCol w:w="6924"/>
        <w:gridCol w:w="3424"/>
      </w:tblGrid>
      <w:tr w:rsidR="008B1902" w14:paraId="0E072EF5" w14:textId="77777777" w:rsidTr="008B1902">
        <w:trPr>
          <w:trHeight w:val="300"/>
        </w:trPr>
        <w:tc>
          <w:tcPr>
            <w:tcW w:w="6924" w:type="dxa"/>
          </w:tcPr>
          <w:p w14:paraId="579BA0C5" w14:textId="77777777" w:rsidR="008B1902" w:rsidRPr="001A44C0" w:rsidRDefault="008B1902" w:rsidP="004D412D">
            <w:pPr>
              <w:rPr>
                <w:rFonts w:ascii="Arial" w:eastAsia="Calibri" w:hAnsi="Arial" w:cs="Arial"/>
                <w:b/>
                <w:bCs/>
              </w:rPr>
            </w:pPr>
            <w:r w:rsidRPr="001A44C0">
              <w:rPr>
                <w:rFonts w:ascii="Arial" w:eastAsia="Calibri" w:hAnsi="Arial" w:cs="Arial"/>
                <w:b/>
                <w:bCs/>
              </w:rPr>
              <w:t>Name of Presenter:</w:t>
            </w:r>
          </w:p>
          <w:p w14:paraId="08738D92" w14:textId="77777777" w:rsidR="008B1902" w:rsidRPr="001A44C0" w:rsidRDefault="008B1902" w:rsidP="004D412D">
            <w:pPr>
              <w:rPr>
                <w:rFonts w:ascii="Arial" w:eastAsia="Calibri" w:hAnsi="Arial" w:cs="Arial"/>
              </w:rPr>
            </w:pPr>
            <w:r w:rsidRPr="001A44C0">
              <w:rPr>
                <w:rFonts w:ascii="Arial" w:eastAsia="Calibri" w:hAnsi="Arial" w:cs="Arial"/>
              </w:rPr>
              <w:t>Fraser Barbour</w:t>
            </w:r>
          </w:p>
        </w:tc>
        <w:tc>
          <w:tcPr>
            <w:tcW w:w="3424" w:type="dxa"/>
          </w:tcPr>
          <w:p w14:paraId="540AD202" w14:textId="77777777" w:rsidR="008B1902" w:rsidRPr="001A44C0" w:rsidRDefault="008B1902" w:rsidP="004D412D">
            <w:pPr>
              <w:rPr>
                <w:rFonts w:ascii="Arial" w:eastAsia="Calibri" w:hAnsi="Arial" w:cs="Arial"/>
                <w:b/>
                <w:bCs/>
              </w:rPr>
            </w:pPr>
            <w:r w:rsidRPr="001A44C0">
              <w:rPr>
                <w:rFonts w:ascii="Arial" w:eastAsia="Calibri" w:hAnsi="Arial" w:cs="Arial"/>
                <w:b/>
                <w:bCs/>
              </w:rPr>
              <w:t>Training grade/post:</w:t>
            </w:r>
          </w:p>
          <w:p w14:paraId="3E278ADE" w14:textId="77777777" w:rsidR="008B1902" w:rsidRPr="001A44C0" w:rsidRDefault="008B1902" w:rsidP="004D412D">
            <w:pPr>
              <w:rPr>
                <w:rFonts w:ascii="Arial" w:eastAsia="Calibri" w:hAnsi="Arial" w:cs="Arial"/>
              </w:rPr>
            </w:pPr>
            <w:r w:rsidRPr="001A44C0">
              <w:rPr>
                <w:rFonts w:ascii="Arial" w:eastAsia="Calibri" w:hAnsi="Arial" w:cs="Arial"/>
              </w:rPr>
              <w:t>SHO</w:t>
            </w:r>
          </w:p>
        </w:tc>
      </w:tr>
      <w:tr w:rsidR="008B1902" w14:paraId="45F8D698" w14:textId="77777777" w:rsidTr="008B1902">
        <w:trPr>
          <w:trHeight w:val="300"/>
        </w:trPr>
        <w:tc>
          <w:tcPr>
            <w:tcW w:w="10348" w:type="dxa"/>
            <w:gridSpan w:val="2"/>
          </w:tcPr>
          <w:p w14:paraId="44A12B58" w14:textId="77777777" w:rsidR="008B1902" w:rsidRPr="001A44C0" w:rsidRDefault="008B1902" w:rsidP="004D412D">
            <w:pPr>
              <w:rPr>
                <w:rFonts w:ascii="Arial" w:eastAsia="Calibri" w:hAnsi="Arial" w:cs="Arial"/>
                <w:b/>
                <w:bCs/>
              </w:rPr>
            </w:pPr>
            <w:r w:rsidRPr="001A44C0">
              <w:rPr>
                <w:rFonts w:ascii="Arial" w:eastAsia="Calibri" w:hAnsi="Arial" w:cs="Arial"/>
                <w:b/>
                <w:bCs/>
              </w:rPr>
              <w:t>Institution:</w:t>
            </w:r>
          </w:p>
          <w:p w14:paraId="7608AD9A" w14:textId="77777777" w:rsidR="008B1902" w:rsidRPr="001A44C0" w:rsidRDefault="008B1902" w:rsidP="004D412D">
            <w:pPr>
              <w:rPr>
                <w:rFonts w:ascii="Arial" w:eastAsia="Calibri" w:hAnsi="Arial" w:cs="Arial"/>
              </w:rPr>
            </w:pPr>
            <w:r w:rsidRPr="001A44C0">
              <w:rPr>
                <w:rFonts w:ascii="Arial" w:eastAsia="Calibri" w:hAnsi="Arial" w:cs="Arial"/>
              </w:rPr>
              <w:t>Freeman Hospital, Newcastle</w:t>
            </w:r>
          </w:p>
        </w:tc>
      </w:tr>
      <w:tr w:rsidR="008B1902" w14:paraId="6774143D" w14:textId="77777777" w:rsidTr="008B1902">
        <w:trPr>
          <w:trHeight w:val="858"/>
        </w:trPr>
        <w:tc>
          <w:tcPr>
            <w:tcW w:w="10348" w:type="dxa"/>
            <w:gridSpan w:val="2"/>
          </w:tcPr>
          <w:p w14:paraId="764D638D" w14:textId="77777777" w:rsidR="008B1902" w:rsidRPr="001A44C0" w:rsidRDefault="008B1902" w:rsidP="004D412D">
            <w:pPr>
              <w:rPr>
                <w:rFonts w:ascii="Arial" w:eastAsia="Calibri" w:hAnsi="Arial" w:cs="Arial"/>
                <w:b/>
                <w:bCs/>
              </w:rPr>
            </w:pPr>
            <w:r w:rsidRPr="001A44C0">
              <w:rPr>
                <w:rFonts w:ascii="Arial" w:eastAsia="Calibri" w:hAnsi="Arial" w:cs="Arial"/>
                <w:b/>
                <w:bCs/>
              </w:rPr>
              <w:t>Title of Presentation:</w:t>
            </w:r>
          </w:p>
          <w:p w14:paraId="11F10C5D" w14:textId="77777777" w:rsidR="008B1902" w:rsidRPr="001A44C0" w:rsidRDefault="008B1902" w:rsidP="004D412D">
            <w:pPr>
              <w:rPr>
                <w:rFonts w:ascii="Arial" w:eastAsia="Calibri" w:hAnsi="Arial" w:cs="Arial"/>
              </w:rPr>
            </w:pPr>
            <w:r w:rsidRPr="001A44C0">
              <w:rPr>
                <w:rFonts w:ascii="Arial" w:eastAsia="Calibri" w:hAnsi="Arial" w:cs="Arial"/>
              </w:rPr>
              <w:t>Optimising the Timing of Post-Operative Mitomycin-C After Initial TURBTs</w:t>
            </w:r>
          </w:p>
        </w:tc>
      </w:tr>
      <w:tr w:rsidR="008B1902" w14:paraId="1E8E48C3" w14:textId="77777777" w:rsidTr="008B1902">
        <w:trPr>
          <w:trHeight w:val="300"/>
        </w:trPr>
        <w:tc>
          <w:tcPr>
            <w:tcW w:w="10348" w:type="dxa"/>
            <w:gridSpan w:val="2"/>
          </w:tcPr>
          <w:p w14:paraId="6B395ACC" w14:textId="77777777" w:rsidR="008B1902" w:rsidRPr="001A44C0" w:rsidRDefault="008B1902" w:rsidP="004D412D">
            <w:pPr>
              <w:rPr>
                <w:rFonts w:ascii="Arial" w:eastAsia="Calibri" w:hAnsi="Arial" w:cs="Arial"/>
                <w:b/>
                <w:bCs/>
              </w:rPr>
            </w:pPr>
            <w:r w:rsidRPr="001A44C0">
              <w:rPr>
                <w:rFonts w:ascii="Arial" w:eastAsia="Calibri" w:hAnsi="Arial" w:cs="Arial"/>
                <w:b/>
                <w:bCs/>
              </w:rPr>
              <w:t>Authors:</w:t>
            </w:r>
          </w:p>
          <w:p w14:paraId="125D40DE" w14:textId="77777777" w:rsidR="008B1902" w:rsidRPr="001A44C0" w:rsidRDefault="008B1902" w:rsidP="004D412D">
            <w:pPr>
              <w:rPr>
                <w:rFonts w:ascii="Arial" w:eastAsia="Calibri" w:hAnsi="Arial" w:cs="Arial"/>
                <w:color w:val="000000" w:themeColor="text1"/>
              </w:rPr>
            </w:pPr>
            <w:r w:rsidRPr="001A44C0">
              <w:rPr>
                <w:rFonts w:ascii="Arial" w:eastAsia="Calibri" w:hAnsi="Arial" w:cs="Arial"/>
                <w:color w:val="000000" w:themeColor="text1"/>
              </w:rPr>
              <w:t>Fraser Barbour, Laura Noble, William Fowler, John Fitzpatrick</w:t>
            </w:r>
          </w:p>
        </w:tc>
      </w:tr>
      <w:tr w:rsidR="008B1902" w14:paraId="1E7FC4E4" w14:textId="77777777" w:rsidTr="008B1902">
        <w:trPr>
          <w:trHeight w:val="300"/>
        </w:trPr>
        <w:tc>
          <w:tcPr>
            <w:tcW w:w="10348" w:type="dxa"/>
            <w:gridSpan w:val="2"/>
            <w:shd w:val="clear" w:color="auto" w:fill="D0CECE" w:themeFill="background2" w:themeFillShade="E6"/>
          </w:tcPr>
          <w:p w14:paraId="538A1896" w14:textId="77777777" w:rsidR="008B1902" w:rsidRPr="001A44C0" w:rsidRDefault="008B1902" w:rsidP="004D412D">
            <w:pPr>
              <w:rPr>
                <w:rFonts w:ascii="Arial" w:eastAsia="Calibri" w:hAnsi="Arial" w:cs="Arial"/>
                <w:b/>
                <w:bCs/>
              </w:rPr>
            </w:pPr>
            <w:r w:rsidRPr="001A44C0">
              <w:rPr>
                <w:rFonts w:ascii="Arial" w:eastAsia="Calibri" w:hAnsi="Arial" w:cs="Arial"/>
                <w:b/>
                <w:bCs/>
              </w:rPr>
              <w:t>Aims:</w:t>
            </w:r>
          </w:p>
          <w:p w14:paraId="73DE11B9" w14:textId="77777777" w:rsidR="008B1902" w:rsidRPr="001A44C0" w:rsidRDefault="008B1902" w:rsidP="004D412D">
            <w:pPr>
              <w:rPr>
                <w:rFonts w:ascii="Arial" w:eastAsia="Calibri" w:hAnsi="Arial" w:cs="Arial"/>
                <w:color w:val="000000" w:themeColor="text1"/>
              </w:rPr>
            </w:pPr>
            <w:r w:rsidRPr="001A44C0">
              <w:rPr>
                <w:rFonts w:ascii="Arial" w:eastAsia="Calibri" w:hAnsi="Arial" w:cs="Arial"/>
                <w:color w:val="000000" w:themeColor="text1"/>
              </w:rPr>
              <w:t xml:space="preserve">NICE guidelines suggest patients undergoing initial TURBTs should receive a </w:t>
            </w:r>
            <w:bookmarkStart w:id="0" w:name="_Int_nuCCUCj8"/>
            <w:r w:rsidRPr="001A44C0">
              <w:rPr>
                <w:rFonts w:ascii="Arial" w:eastAsia="Calibri" w:hAnsi="Arial" w:cs="Arial"/>
                <w:color w:val="000000" w:themeColor="text1"/>
              </w:rPr>
              <w:t>single-instillation</w:t>
            </w:r>
            <w:bookmarkEnd w:id="0"/>
            <w:r w:rsidRPr="001A44C0">
              <w:rPr>
                <w:rFonts w:ascii="Arial" w:eastAsia="Calibri" w:hAnsi="Arial" w:cs="Arial"/>
                <w:color w:val="000000" w:themeColor="text1"/>
              </w:rPr>
              <w:t xml:space="preserve"> of Mitomycin-C at the same time as TURBT. EAU guidelines say Mitomycin should be given within 2 hours. Some in-vitro evidence suggests that bladder tumours can reimplant in the bladder lining and can even become covered within extracellular matrix within 2 hours. </w:t>
            </w:r>
          </w:p>
          <w:p w14:paraId="295AE13E" w14:textId="77777777" w:rsidR="008B1902" w:rsidRPr="001A44C0" w:rsidRDefault="008B1902" w:rsidP="004D412D">
            <w:pPr>
              <w:rPr>
                <w:rFonts w:ascii="Arial" w:eastAsia="Calibri" w:hAnsi="Arial" w:cs="Arial"/>
                <w:color w:val="000000" w:themeColor="text1"/>
              </w:rPr>
            </w:pPr>
            <w:r w:rsidRPr="001A44C0">
              <w:rPr>
                <w:rFonts w:ascii="Arial" w:eastAsia="Calibri" w:hAnsi="Arial" w:cs="Arial"/>
                <w:color w:val="000000" w:themeColor="text1"/>
              </w:rPr>
              <w:t xml:space="preserve">In 2023, the Trust changed its policy to start giving Mitomycin in theatre following TURBTs where appropriate rather than on the ward. This audit aims to assess the impact this change had on the timing of Mitomycin and determine if there are any issues reducing the number of patients receiving Mitomycin. </w:t>
            </w:r>
          </w:p>
        </w:tc>
      </w:tr>
      <w:tr w:rsidR="008B1902" w14:paraId="0D1D3D5E" w14:textId="77777777" w:rsidTr="008B1902">
        <w:trPr>
          <w:trHeight w:val="300"/>
        </w:trPr>
        <w:tc>
          <w:tcPr>
            <w:tcW w:w="10348" w:type="dxa"/>
            <w:gridSpan w:val="2"/>
            <w:shd w:val="clear" w:color="auto" w:fill="D0CECE" w:themeFill="background2" w:themeFillShade="E6"/>
          </w:tcPr>
          <w:p w14:paraId="26B12F9A" w14:textId="77777777" w:rsidR="008B1902" w:rsidRPr="001A44C0" w:rsidRDefault="008B1902" w:rsidP="004D412D">
            <w:pPr>
              <w:rPr>
                <w:rFonts w:ascii="Arial" w:eastAsia="Calibri" w:hAnsi="Arial" w:cs="Arial"/>
                <w:b/>
                <w:bCs/>
              </w:rPr>
            </w:pPr>
            <w:r w:rsidRPr="001A44C0">
              <w:rPr>
                <w:rFonts w:ascii="Arial" w:eastAsia="Calibri" w:hAnsi="Arial" w:cs="Arial"/>
                <w:b/>
                <w:bCs/>
              </w:rPr>
              <w:t>Methods:</w:t>
            </w:r>
          </w:p>
          <w:p w14:paraId="767BF970" w14:textId="77777777" w:rsidR="008B1902" w:rsidRPr="001A44C0" w:rsidRDefault="008B1902" w:rsidP="004D412D">
            <w:pPr>
              <w:rPr>
                <w:rFonts w:ascii="Arial" w:eastAsia="Calibri" w:hAnsi="Arial" w:cs="Arial"/>
                <w:color w:val="000000" w:themeColor="text1"/>
              </w:rPr>
            </w:pPr>
            <w:r w:rsidRPr="001A44C0">
              <w:rPr>
                <w:rFonts w:ascii="Arial" w:eastAsia="Calibri" w:hAnsi="Arial" w:cs="Arial"/>
                <w:color w:val="000000" w:themeColor="text1"/>
              </w:rPr>
              <w:t>A retrospective review was undertaken of patients undergoing their first TURBT between September and December 2022, at which time Mitomycin was given on the ward, and compared against initial TURBT patients from September to December 2023.</w:t>
            </w:r>
          </w:p>
        </w:tc>
      </w:tr>
      <w:tr w:rsidR="008B1902" w14:paraId="0BEF5FA3" w14:textId="77777777" w:rsidTr="008B1902">
        <w:trPr>
          <w:trHeight w:val="300"/>
        </w:trPr>
        <w:tc>
          <w:tcPr>
            <w:tcW w:w="10348" w:type="dxa"/>
            <w:gridSpan w:val="2"/>
            <w:shd w:val="clear" w:color="auto" w:fill="D0CECE" w:themeFill="background2" w:themeFillShade="E6"/>
          </w:tcPr>
          <w:p w14:paraId="35C80668" w14:textId="77777777" w:rsidR="008B1902" w:rsidRPr="001A44C0" w:rsidRDefault="008B1902" w:rsidP="004D412D">
            <w:pPr>
              <w:rPr>
                <w:rFonts w:ascii="Arial" w:eastAsia="Calibri" w:hAnsi="Arial" w:cs="Arial"/>
                <w:b/>
                <w:bCs/>
              </w:rPr>
            </w:pPr>
            <w:r w:rsidRPr="001A44C0">
              <w:rPr>
                <w:rFonts w:ascii="Arial" w:eastAsia="Calibri" w:hAnsi="Arial" w:cs="Arial"/>
                <w:b/>
                <w:bCs/>
              </w:rPr>
              <w:t>Results:</w:t>
            </w:r>
          </w:p>
          <w:p w14:paraId="55AA93A7" w14:textId="77777777" w:rsidR="008B1902" w:rsidRPr="001A44C0" w:rsidRDefault="008B1902" w:rsidP="004D412D">
            <w:pPr>
              <w:rPr>
                <w:rFonts w:ascii="Arial" w:eastAsia="Calibri" w:hAnsi="Arial" w:cs="Arial"/>
                <w:color w:val="000000" w:themeColor="text1"/>
              </w:rPr>
            </w:pPr>
            <w:r w:rsidRPr="001A44C0">
              <w:rPr>
                <w:rFonts w:ascii="Arial" w:eastAsia="Calibri" w:hAnsi="Arial" w:cs="Arial"/>
                <w:color w:val="000000" w:themeColor="text1"/>
              </w:rPr>
              <w:t>108 patients underwent TURBT from September-December 2022 with 50% receiving Mitomycin post-operatively. 123 patients had TURBTs from September-December 2023 with 43% receiving Mitomycin. The mean time until Mitomycin in the 2022 group was 241 minutes compared to just 121 minutes in 2023. The number receiving Mitomycin within 2 hours increased from 26% in 2022 to 67% in 2023. Reasons for not giving Mitomycin post-operatively included deep resection, solid tumour, incomplete resection, benign appearance, obturator kick, and ongoing haematuria.</w:t>
            </w:r>
          </w:p>
        </w:tc>
      </w:tr>
      <w:tr w:rsidR="008B1902" w14:paraId="2FDA1282" w14:textId="77777777" w:rsidTr="008B1902">
        <w:trPr>
          <w:trHeight w:val="300"/>
        </w:trPr>
        <w:tc>
          <w:tcPr>
            <w:tcW w:w="10348" w:type="dxa"/>
            <w:gridSpan w:val="2"/>
            <w:shd w:val="clear" w:color="auto" w:fill="D0CECE" w:themeFill="background2" w:themeFillShade="E6"/>
          </w:tcPr>
          <w:p w14:paraId="7934AE41" w14:textId="77777777" w:rsidR="008B1902" w:rsidRPr="001A44C0" w:rsidRDefault="008B1902" w:rsidP="004D412D">
            <w:pPr>
              <w:rPr>
                <w:rFonts w:ascii="Arial" w:eastAsia="Calibri" w:hAnsi="Arial" w:cs="Arial"/>
                <w:b/>
                <w:bCs/>
              </w:rPr>
            </w:pPr>
            <w:r w:rsidRPr="001A44C0">
              <w:rPr>
                <w:rFonts w:ascii="Arial" w:eastAsia="Calibri" w:hAnsi="Arial" w:cs="Arial"/>
                <w:b/>
                <w:bCs/>
              </w:rPr>
              <w:t>Conclusion:</w:t>
            </w:r>
          </w:p>
          <w:p w14:paraId="750DDCBC" w14:textId="77777777" w:rsidR="008B1902" w:rsidRPr="001A44C0" w:rsidRDefault="008B1902" w:rsidP="004D412D">
            <w:pPr>
              <w:rPr>
                <w:rFonts w:ascii="Arial" w:eastAsia="Calibri" w:hAnsi="Arial" w:cs="Arial"/>
                <w:color w:val="000000" w:themeColor="text1"/>
              </w:rPr>
            </w:pPr>
            <w:r w:rsidRPr="001A44C0">
              <w:rPr>
                <w:rFonts w:ascii="Arial" w:eastAsia="Calibri" w:hAnsi="Arial" w:cs="Arial"/>
                <w:color w:val="000000" w:themeColor="text1"/>
              </w:rPr>
              <w:t>Giving Mitomycin in theatre following TURBTs rather than on the ward reduced the time to Mitomycin and significantly increased the proportion receiving Mitomycin within 2 hours which may reduce tumour recurrence rate.</w:t>
            </w:r>
          </w:p>
        </w:tc>
      </w:tr>
    </w:tbl>
    <w:p w14:paraId="2C24C4CF" w14:textId="77777777" w:rsidR="00E8303A" w:rsidRDefault="00E8303A" w:rsidP="00E8303A">
      <w:pPr>
        <w:spacing w:after="0" w:line="240" w:lineRule="auto"/>
        <w:rPr>
          <w:b/>
        </w:rPr>
      </w:pPr>
    </w:p>
    <w:p w14:paraId="3AD01D01" w14:textId="77777777" w:rsidR="00E8303A" w:rsidRPr="00FE3824" w:rsidRDefault="00E8303A" w:rsidP="00E8303A">
      <w:pPr>
        <w:spacing w:after="160" w:line="259" w:lineRule="auto"/>
        <w:rPr>
          <w:rFonts w:cstheme="minorHAnsi"/>
          <w:b/>
        </w:rPr>
      </w:pPr>
      <w:r w:rsidRPr="00FE3824">
        <w:rPr>
          <w:rFonts w:cstheme="minorHAnsi"/>
          <w:b/>
        </w:rPr>
        <w:br w:type="page"/>
      </w:r>
    </w:p>
    <w:p w14:paraId="5CF57964" w14:textId="77777777" w:rsidR="00E8303A" w:rsidRPr="00FE3824" w:rsidRDefault="00E8303A" w:rsidP="00E8303A">
      <w:pPr>
        <w:spacing w:after="0" w:line="240" w:lineRule="auto"/>
        <w:rPr>
          <w:b/>
          <w:sz w:val="28"/>
          <w:szCs w:val="28"/>
        </w:rPr>
      </w:pPr>
    </w:p>
    <w:p w14:paraId="503EDCD9" w14:textId="77777777" w:rsidR="00E8303A" w:rsidRPr="00AF00B7" w:rsidRDefault="00E8303A" w:rsidP="00E8303A">
      <w:pPr>
        <w:spacing w:after="0" w:line="240" w:lineRule="auto"/>
        <w:rPr>
          <w:rFonts w:ascii="Arial" w:hAnsi="Arial" w:cs="Arial"/>
          <w:b/>
          <w:sz w:val="24"/>
          <w:szCs w:val="24"/>
        </w:rPr>
      </w:pPr>
      <w:bookmarkStart w:id="1" w:name="_Hlk86863663"/>
      <w:r w:rsidRPr="00AF00B7">
        <w:rPr>
          <w:rFonts w:ascii="Arial" w:hAnsi="Arial" w:cs="Arial"/>
          <w:b/>
          <w:sz w:val="24"/>
          <w:szCs w:val="24"/>
        </w:rPr>
        <w:t>Abstract 5</w:t>
      </w:r>
    </w:p>
    <w:tbl>
      <w:tblPr>
        <w:tblpPr w:leftFromText="180" w:rightFromText="180" w:vertAnchor="text" w:horzAnchor="margin" w:tblpXSpec="center" w:tblpY="38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4315"/>
      </w:tblGrid>
      <w:tr w:rsidR="008B1902" w14:paraId="1278B772" w14:textId="77777777" w:rsidTr="008B1902">
        <w:tc>
          <w:tcPr>
            <w:tcW w:w="5178" w:type="dxa"/>
            <w:tcBorders>
              <w:top w:val="single" w:sz="4" w:space="0" w:color="auto"/>
              <w:left w:val="single" w:sz="4" w:space="0" w:color="auto"/>
              <w:bottom w:val="single" w:sz="4" w:space="0" w:color="auto"/>
              <w:right w:val="single" w:sz="4" w:space="0" w:color="auto"/>
            </w:tcBorders>
          </w:tcPr>
          <w:p w14:paraId="49665732" w14:textId="77777777" w:rsidR="008B1902" w:rsidRDefault="008B1902" w:rsidP="008B1902">
            <w:pPr>
              <w:spacing w:after="0" w:line="240" w:lineRule="auto"/>
            </w:pPr>
            <w:r>
              <w:rPr>
                <w:b/>
              </w:rPr>
              <w:t>Name of Presenter</w:t>
            </w:r>
            <w:r>
              <w:t>: Kalpesh Parmar</w:t>
            </w:r>
          </w:p>
          <w:p w14:paraId="762BFE2A" w14:textId="77777777" w:rsidR="008B1902" w:rsidRDefault="008B1902" w:rsidP="008B1902">
            <w:pPr>
              <w:spacing w:after="0" w:line="240" w:lineRule="auto"/>
              <w:rPr>
                <w:rFonts w:cs="Times New Roman"/>
              </w:rPr>
            </w:pPr>
          </w:p>
        </w:tc>
        <w:tc>
          <w:tcPr>
            <w:tcW w:w="4315" w:type="dxa"/>
            <w:tcBorders>
              <w:top w:val="single" w:sz="4" w:space="0" w:color="auto"/>
              <w:left w:val="single" w:sz="4" w:space="0" w:color="auto"/>
              <w:bottom w:val="single" w:sz="4" w:space="0" w:color="auto"/>
              <w:right w:val="single" w:sz="4" w:space="0" w:color="auto"/>
            </w:tcBorders>
            <w:hideMark/>
          </w:tcPr>
          <w:p w14:paraId="10C28BC5" w14:textId="77777777" w:rsidR="008B1902" w:rsidRDefault="008B1902" w:rsidP="008B1902">
            <w:pPr>
              <w:spacing w:after="0" w:line="240" w:lineRule="auto"/>
              <w:rPr>
                <w:rFonts w:cs="Times New Roman"/>
              </w:rPr>
            </w:pPr>
            <w:r>
              <w:rPr>
                <w:b/>
              </w:rPr>
              <w:t>Training grade/post</w:t>
            </w:r>
            <w:r>
              <w:t>: Robotic Fellow</w:t>
            </w:r>
          </w:p>
        </w:tc>
      </w:tr>
      <w:tr w:rsidR="008B1902" w14:paraId="1CFFEA32" w14:textId="77777777" w:rsidTr="008B1902">
        <w:tc>
          <w:tcPr>
            <w:tcW w:w="9493" w:type="dxa"/>
            <w:gridSpan w:val="2"/>
            <w:tcBorders>
              <w:top w:val="single" w:sz="4" w:space="0" w:color="auto"/>
              <w:left w:val="single" w:sz="4" w:space="0" w:color="auto"/>
              <w:bottom w:val="single" w:sz="4" w:space="0" w:color="auto"/>
              <w:right w:val="single" w:sz="4" w:space="0" w:color="auto"/>
            </w:tcBorders>
          </w:tcPr>
          <w:p w14:paraId="3C2250B4" w14:textId="77777777" w:rsidR="008B1902" w:rsidRDefault="008B1902" w:rsidP="008B1902">
            <w:pPr>
              <w:spacing w:after="0" w:line="240" w:lineRule="auto"/>
            </w:pPr>
            <w:r>
              <w:rPr>
                <w:b/>
              </w:rPr>
              <w:t>Institution</w:t>
            </w:r>
            <w:r>
              <w:t>: Freeman Hospital, Newcastle NHS Trust</w:t>
            </w:r>
          </w:p>
          <w:p w14:paraId="0B7EDD64" w14:textId="77777777" w:rsidR="008B1902" w:rsidRDefault="008B1902" w:rsidP="008B1902">
            <w:pPr>
              <w:spacing w:after="0" w:line="240" w:lineRule="auto"/>
              <w:rPr>
                <w:rFonts w:cs="Times New Roman"/>
              </w:rPr>
            </w:pPr>
          </w:p>
        </w:tc>
      </w:tr>
      <w:tr w:rsidR="008B1902" w14:paraId="3D8E53F0" w14:textId="77777777" w:rsidTr="008B1902">
        <w:tc>
          <w:tcPr>
            <w:tcW w:w="9493" w:type="dxa"/>
            <w:gridSpan w:val="2"/>
            <w:tcBorders>
              <w:top w:val="single" w:sz="4" w:space="0" w:color="auto"/>
              <w:left w:val="single" w:sz="4" w:space="0" w:color="auto"/>
              <w:bottom w:val="single" w:sz="4" w:space="0" w:color="auto"/>
              <w:right w:val="single" w:sz="4" w:space="0" w:color="auto"/>
            </w:tcBorders>
          </w:tcPr>
          <w:p w14:paraId="20C841BB" w14:textId="77777777" w:rsidR="008B1902" w:rsidRPr="00BD4DDB" w:rsidRDefault="008B1902" w:rsidP="008B1902">
            <w:pPr>
              <w:spacing w:line="360" w:lineRule="auto"/>
              <w:jc w:val="both"/>
              <w:rPr>
                <w:color w:val="000000" w:themeColor="text1"/>
                <w:lang w:val="en-US"/>
              </w:rPr>
            </w:pPr>
            <w:r>
              <w:rPr>
                <w:b/>
              </w:rPr>
              <w:t>Title of Presentation</w:t>
            </w:r>
            <w:r>
              <w:t>:</w:t>
            </w:r>
            <w:r>
              <w:rPr>
                <w:color w:val="000000" w:themeColor="text1"/>
                <w:lang w:val="en-US"/>
              </w:rPr>
              <w:t xml:space="preserve"> Back to the future: Bringing the sewn bowel anastomosis into the 21</w:t>
            </w:r>
            <w:r w:rsidRPr="005E640B">
              <w:rPr>
                <w:color w:val="000000" w:themeColor="text1"/>
                <w:vertAlign w:val="superscript"/>
                <w:lang w:val="en-US"/>
              </w:rPr>
              <w:t>st</w:t>
            </w:r>
            <w:r>
              <w:rPr>
                <w:color w:val="000000" w:themeColor="text1"/>
                <w:lang w:val="en-US"/>
              </w:rPr>
              <w:t xml:space="preserve"> century with the robotic approach in radical cystectomy; improving costs and reducing environmental impact</w:t>
            </w:r>
          </w:p>
        </w:tc>
      </w:tr>
      <w:tr w:rsidR="008B1902" w14:paraId="2531563F" w14:textId="77777777" w:rsidTr="008B1902">
        <w:tc>
          <w:tcPr>
            <w:tcW w:w="9493" w:type="dxa"/>
            <w:gridSpan w:val="2"/>
            <w:tcBorders>
              <w:top w:val="single" w:sz="4" w:space="0" w:color="auto"/>
              <w:left w:val="single" w:sz="4" w:space="0" w:color="auto"/>
              <w:bottom w:val="single" w:sz="4" w:space="0" w:color="auto"/>
              <w:right w:val="single" w:sz="4" w:space="0" w:color="auto"/>
            </w:tcBorders>
          </w:tcPr>
          <w:p w14:paraId="1836F016" w14:textId="77777777" w:rsidR="008B1902" w:rsidRDefault="008B1902" w:rsidP="008B1902">
            <w:pPr>
              <w:spacing w:after="0" w:line="240" w:lineRule="auto"/>
            </w:pPr>
            <w:r>
              <w:rPr>
                <w:b/>
              </w:rPr>
              <w:t>Authors</w:t>
            </w:r>
            <w:r>
              <w:t>:</w:t>
            </w:r>
          </w:p>
          <w:p w14:paraId="0EA543ED" w14:textId="77777777" w:rsidR="008B1902" w:rsidRDefault="008B1902" w:rsidP="008B1902">
            <w:pPr>
              <w:spacing w:after="0" w:line="240" w:lineRule="auto"/>
            </w:pPr>
            <w:r>
              <w:t>Kalpesh Parmar, Mark Johnson, Arjun Nambiar</w:t>
            </w:r>
          </w:p>
          <w:p w14:paraId="752B9CF5" w14:textId="77777777" w:rsidR="008B1902" w:rsidRDefault="008B1902" w:rsidP="008B1902">
            <w:pPr>
              <w:spacing w:after="0" w:line="240" w:lineRule="auto"/>
              <w:rPr>
                <w:rFonts w:cs="Times New Roman"/>
              </w:rPr>
            </w:pPr>
          </w:p>
        </w:tc>
      </w:tr>
      <w:tr w:rsidR="008B1902" w14:paraId="084F347E" w14:textId="77777777" w:rsidTr="008B1902">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14:paraId="70C67072" w14:textId="77777777" w:rsidR="008B1902" w:rsidRDefault="008B1902" w:rsidP="008B1902">
            <w:pPr>
              <w:spacing w:after="0" w:line="240" w:lineRule="auto"/>
            </w:pPr>
            <w:r>
              <w:rPr>
                <w:b/>
              </w:rPr>
              <w:t>Aims</w:t>
            </w:r>
            <w:r>
              <w:t>:</w:t>
            </w:r>
          </w:p>
          <w:p w14:paraId="07D4C326" w14:textId="77777777" w:rsidR="008B1902" w:rsidRPr="00BD4DDB" w:rsidRDefault="008B1902" w:rsidP="008B1902">
            <w:pPr>
              <w:spacing w:line="360" w:lineRule="auto"/>
              <w:jc w:val="both"/>
              <w:rPr>
                <w:color w:val="000000" w:themeColor="text1"/>
                <w:lang w:val="en-US"/>
              </w:rPr>
            </w:pPr>
            <w:r>
              <w:rPr>
                <w:color w:val="000000" w:themeColor="text1"/>
              </w:rPr>
              <w:t xml:space="preserve">The stapled anastomosis has become the standard for minimally invasive bowel </w:t>
            </w:r>
            <w:proofErr w:type="gramStart"/>
            <w:r>
              <w:rPr>
                <w:color w:val="000000" w:themeColor="text1"/>
              </w:rPr>
              <w:t>reconfiguration, but</w:t>
            </w:r>
            <w:proofErr w:type="gramEnd"/>
            <w:r>
              <w:rPr>
                <w:color w:val="000000" w:themeColor="text1"/>
              </w:rPr>
              <w:t xml:space="preserve"> is expensive</w:t>
            </w:r>
            <w:r w:rsidRPr="003A7E1E">
              <w:rPr>
                <w:color w:val="000000" w:themeColor="text1"/>
              </w:rPr>
              <w:t>.</w:t>
            </w:r>
            <w:r>
              <w:rPr>
                <w:color w:val="000000" w:themeColor="text1"/>
              </w:rPr>
              <w:t xml:space="preserve"> The aim was to</w:t>
            </w:r>
            <w:r w:rsidRPr="001B4272">
              <w:rPr>
                <w:color w:val="000000" w:themeColor="text1"/>
              </w:rPr>
              <w:t xml:space="preserve"> assess the </w:t>
            </w:r>
            <w:r>
              <w:rPr>
                <w:color w:val="000000" w:themeColor="text1"/>
              </w:rPr>
              <w:t xml:space="preserve">cost benefit, </w:t>
            </w:r>
            <w:proofErr w:type="gramStart"/>
            <w:r>
              <w:rPr>
                <w:color w:val="000000" w:themeColor="text1"/>
              </w:rPr>
              <w:t>time</w:t>
            </w:r>
            <w:proofErr w:type="gramEnd"/>
            <w:r>
              <w:rPr>
                <w:color w:val="000000" w:themeColor="text1"/>
              </w:rPr>
              <w:t xml:space="preserve"> and safety outcomes of </w:t>
            </w:r>
            <w:r>
              <w:rPr>
                <w:color w:val="000000" w:themeColor="text1"/>
                <w:lang w:val="en-US"/>
              </w:rPr>
              <w:t>r</w:t>
            </w:r>
            <w:r w:rsidRPr="001B4272">
              <w:rPr>
                <w:color w:val="000000" w:themeColor="text1"/>
                <w:lang w:val="en-US"/>
              </w:rPr>
              <w:t>obotic sewn bowel anastomosis in radical cystectomy and intra-corporeal urinary diversion</w:t>
            </w:r>
            <w:r>
              <w:rPr>
                <w:color w:val="000000" w:themeColor="text1"/>
                <w:lang w:val="en-US"/>
              </w:rPr>
              <w:t>.</w:t>
            </w:r>
          </w:p>
        </w:tc>
      </w:tr>
      <w:tr w:rsidR="008B1902" w14:paraId="05EDFF1B" w14:textId="77777777" w:rsidTr="008B1902">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14:paraId="619D7547" w14:textId="77777777" w:rsidR="008B1902" w:rsidRDefault="008B1902" w:rsidP="008B1902">
            <w:pPr>
              <w:spacing w:after="0" w:line="240" w:lineRule="auto"/>
            </w:pPr>
            <w:r>
              <w:rPr>
                <w:b/>
              </w:rPr>
              <w:t>Methods</w:t>
            </w:r>
            <w:r>
              <w:t>:</w:t>
            </w:r>
          </w:p>
          <w:p w14:paraId="70A904C6" w14:textId="77777777" w:rsidR="008B1902" w:rsidRDefault="008B1902" w:rsidP="008B1902">
            <w:pPr>
              <w:spacing w:after="0" w:line="360" w:lineRule="auto"/>
              <w:jc w:val="both"/>
            </w:pPr>
            <w:r w:rsidRPr="001B4272">
              <w:t xml:space="preserve">Analysis of </w:t>
            </w:r>
            <w:r>
              <w:t xml:space="preserve">a </w:t>
            </w:r>
            <w:r w:rsidRPr="001B4272">
              <w:t>prospective</w:t>
            </w:r>
            <w:r>
              <w:t>ly</w:t>
            </w:r>
            <w:r w:rsidRPr="001B4272">
              <w:t xml:space="preserve"> m</w:t>
            </w:r>
            <w:r>
              <w:t>aintained database of</w:t>
            </w:r>
            <w:r w:rsidRPr="001B4272">
              <w:t xml:space="preserve"> patients</w:t>
            </w:r>
            <w:r>
              <w:t xml:space="preserve"> undergoing r</w:t>
            </w:r>
            <w:r w:rsidRPr="001B4272">
              <w:t>obotic sewn bow</w:t>
            </w:r>
            <w:r>
              <w:t>el anastomosis from December 2023</w:t>
            </w:r>
            <w:r w:rsidRPr="001B4272">
              <w:t xml:space="preserve"> </w:t>
            </w:r>
            <w:r>
              <w:t>to</w:t>
            </w:r>
            <w:r w:rsidRPr="001B4272">
              <w:t xml:space="preserve"> September 2024</w:t>
            </w:r>
          </w:p>
          <w:p w14:paraId="1F2913EC" w14:textId="77777777" w:rsidR="008B1902" w:rsidRDefault="008B1902" w:rsidP="008B1902">
            <w:pPr>
              <w:spacing w:after="0" w:line="240" w:lineRule="auto"/>
              <w:rPr>
                <w:rFonts w:cs="Times New Roman"/>
              </w:rPr>
            </w:pPr>
          </w:p>
        </w:tc>
      </w:tr>
      <w:tr w:rsidR="008B1902" w14:paraId="0C667265" w14:textId="77777777" w:rsidTr="008B1902">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14:paraId="16607565" w14:textId="77777777" w:rsidR="008B1902" w:rsidRDefault="008B1902" w:rsidP="008B1902">
            <w:pPr>
              <w:spacing w:after="0" w:line="240" w:lineRule="auto"/>
            </w:pPr>
            <w:r>
              <w:rPr>
                <w:b/>
              </w:rPr>
              <w:t>Results</w:t>
            </w:r>
            <w:r>
              <w:t>:</w:t>
            </w:r>
          </w:p>
          <w:p w14:paraId="0D845B37" w14:textId="77777777" w:rsidR="008B1902" w:rsidRDefault="008B1902" w:rsidP="008B1902">
            <w:pPr>
              <w:spacing w:line="360" w:lineRule="auto"/>
              <w:jc w:val="both"/>
            </w:pPr>
            <w:r>
              <w:t xml:space="preserve">20 patients were included during the study period. The mean age was 62.5 (32-78). 3 patients underwent benign cystectomy and 17 were for bladder cancer. The cost of robotic stapler is £333 + £142 per stapler fire. With an average of 4 fires used per case this brings a cost of £901. The cost of 2 </w:t>
            </w:r>
            <w:proofErr w:type="spellStart"/>
            <w:r>
              <w:t>stratafix</w:t>
            </w:r>
            <w:proofErr w:type="spellEnd"/>
            <w:r>
              <w:t xml:space="preserve"> and 2 </w:t>
            </w:r>
            <w:proofErr w:type="spellStart"/>
            <w:r>
              <w:t>vicryl</w:t>
            </w:r>
            <w:proofErr w:type="spellEnd"/>
            <w:r>
              <w:t xml:space="preserve"> sutures is less than £40. With 50-70 robotic cystectomy procedures performed per year at our centre, this could result in a saving of between £45,000 to £73,000. </w:t>
            </w:r>
          </w:p>
          <w:p w14:paraId="29AC1750" w14:textId="77777777" w:rsidR="008B1902" w:rsidRDefault="008B1902" w:rsidP="008B1902">
            <w:pPr>
              <w:spacing w:line="360" w:lineRule="auto"/>
              <w:jc w:val="both"/>
            </w:pPr>
            <w:r>
              <w:t xml:space="preserve">The blood loss ranged from 50 -500 ml. The mean time for robot sewn bowel anastomosis was 45 minutes (35-45 minutes) and was no different from stapled bowel anastomosis. The mean time to bowel movement was 5 days. The mean hospital stay was 8 days (6-14) and 10 days (6-17) in sewn and stapled group respectively. There were no cases of post-op bowel obstruction requiring intervention in either group. </w:t>
            </w:r>
          </w:p>
          <w:p w14:paraId="4A0712BB" w14:textId="77777777" w:rsidR="008B1902" w:rsidRDefault="008B1902" w:rsidP="008B1902">
            <w:pPr>
              <w:spacing w:after="0" w:line="240" w:lineRule="auto"/>
              <w:rPr>
                <w:rFonts w:cs="Times New Roman"/>
              </w:rPr>
            </w:pPr>
          </w:p>
        </w:tc>
      </w:tr>
      <w:tr w:rsidR="008B1902" w14:paraId="084A03CA" w14:textId="77777777" w:rsidTr="008B1902">
        <w:tc>
          <w:tcPr>
            <w:tcW w:w="9493" w:type="dxa"/>
            <w:gridSpan w:val="2"/>
            <w:tcBorders>
              <w:top w:val="single" w:sz="4" w:space="0" w:color="auto"/>
              <w:left w:val="single" w:sz="4" w:space="0" w:color="auto"/>
              <w:bottom w:val="single" w:sz="4" w:space="0" w:color="auto"/>
              <w:right w:val="single" w:sz="4" w:space="0" w:color="auto"/>
            </w:tcBorders>
            <w:shd w:val="clear" w:color="auto" w:fill="D9D9D9"/>
          </w:tcPr>
          <w:p w14:paraId="513F33BA" w14:textId="77777777" w:rsidR="008B1902" w:rsidRDefault="008B1902" w:rsidP="008B1902">
            <w:pPr>
              <w:spacing w:after="0" w:line="240" w:lineRule="auto"/>
            </w:pPr>
            <w:r>
              <w:rPr>
                <w:b/>
              </w:rPr>
              <w:t>Conclusion</w:t>
            </w:r>
            <w:r>
              <w:t>:</w:t>
            </w:r>
          </w:p>
          <w:p w14:paraId="00B058C4" w14:textId="77777777" w:rsidR="008B1902" w:rsidRPr="00BD4DDB" w:rsidRDefault="008B1902" w:rsidP="008B1902">
            <w:pPr>
              <w:spacing w:line="360" w:lineRule="auto"/>
              <w:jc w:val="both"/>
              <w:rPr>
                <w:color w:val="000000" w:themeColor="text1"/>
                <w:lang w:val="en-US"/>
              </w:rPr>
            </w:pPr>
            <w:r>
              <w:t>Robot sewn bowel anastomosis is a suitable alternative to stapled anastomosis with significant reduction in cost. The days to bowel movement, length of stay and 30-day complication rate is no different with good overall outcomes.</w:t>
            </w:r>
          </w:p>
        </w:tc>
      </w:tr>
    </w:tbl>
    <w:p w14:paraId="16AB63C6" w14:textId="77777777" w:rsidR="00E8303A" w:rsidRPr="00FE3824" w:rsidRDefault="00E8303A" w:rsidP="00E8303A">
      <w:pPr>
        <w:rPr>
          <w:b/>
          <w:sz w:val="28"/>
          <w:szCs w:val="28"/>
        </w:rPr>
      </w:pPr>
    </w:p>
    <w:bookmarkEnd w:id="1"/>
    <w:p w14:paraId="081D62A2" w14:textId="77777777" w:rsidR="00E8303A" w:rsidRDefault="00E8303A" w:rsidP="00E8303A">
      <w:pPr>
        <w:rPr>
          <w:b/>
          <w:sz w:val="24"/>
          <w:szCs w:val="24"/>
        </w:rPr>
      </w:pPr>
    </w:p>
    <w:p w14:paraId="6A5D96F3" w14:textId="77777777" w:rsidR="00E8303A" w:rsidRDefault="00E8303A" w:rsidP="00E8303A">
      <w:pPr>
        <w:spacing w:after="160" w:line="259" w:lineRule="auto"/>
        <w:rPr>
          <w:b/>
          <w:sz w:val="24"/>
          <w:szCs w:val="24"/>
        </w:rPr>
      </w:pPr>
      <w:r>
        <w:rPr>
          <w:b/>
          <w:sz w:val="24"/>
          <w:szCs w:val="24"/>
        </w:rPr>
        <w:br w:type="page"/>
      </w:r>
    </w:p>
    <w:p w14:paraId="2374C7AA" w14:textId="264C7479" w:rsidR="00E8303A" w:rsidRDefault="00E8303A" w:rsidP="00E8303A">
      <w:pPr>
        <w:rPr>
          <w:rFonts w:ascii="Arial" w:hAnsi="Arial" w:cs="Arial"/>
          <w:b/>
          <w:sz w:val="24"/>
          <w:szCs w:val="24"/>
        </w:rPr>
      </w:pPr>
      <w:r w:rsidRPr="00AF00B7">
        <w:rPr>
          <w:rFonts w:ascii="Arial" w:hAnsi="Arial" w:cs="Arial"/>
          <w:b/>
          <w:sz w:val="24"/>
          <w:szCs w:val="24"/>
        </w:rPr>
        <w:lastRenderedPageBreak/>
        <w:t>Abstract 6</w:t>
      </w:r>
    </w:p>
    <w:p w14:paraId="5E1CFC21" w14:textId="77777777" w:rsidR="008B1902" w:rsidRPr="00AF00B7" w:rsidRDefault="008B1902" w:rsidP="00E8303A">
      <w:pPr>
        <w:rPr>
          <w:rFonts w:ascii="Arial" w:hAnsi="Arial" w:cs="Arial"/>
          <w:b/>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8B1902" w14:paraId="5C658E9A" w14:textId="77777777" w:rsidTr="008B1902">
        <w:tc>
          <w:tcPr>
            <w:tcW w:w="5488" w:type="dxa"/>
            <w:tcBorders>
              <w:top w:val="single" w:sz="4" w:space="0" w:color="auto"/>
              <w:left w:val="single" w:sz="4" w:space="0" w:color="auto"/>
              <w:bottom w:val="single" w:sz="4" w:space="0" w:color="auto"/>
              <w:right w:val="single" w:sz="4" w:space="0" w:color="auto"/>
            </w:tcBorders>
          </w:tcPr>
          <w:p w14:paraId="69A48D65" w14:textId="77777777" w:rsidR="008B1902" w:rsidRDefault="008B1902" w:rsidP="004D412D">
            <w:pPr>
              <w:spacing w:after="0" w:line="240" w:lineRule="auto"/>
            </w:pPr>
            <w:r>
              <w:rPr>
                <w:b/>
              </w:rPr>
              <w:t>Name of Presenter</w:t>
            </w:r>
            <w:r>
              <w:t>:</w:t>
            </w:r>
          </w:p>
          <w:p w14:paraId="68D14078" w14:textId="77777777" w:rsidR="008B1902" w:rsidRDefault="008B1902" w:rsidP="004D412D">
            <w:pPr>
              <w:spacing w:after="0" w:line="240" w:lineRule="auto"/>
            </w:pPr>
            <w:r>
              <w:t xml:space="preserve">Ahmed </w:t>
            </w:r>
            <w:proofErr w:type="spellStart"/>
            <w:r>
              <w:t>Ghonaimy</w:t>
            </w:r>
            <w:proofErr w:type="spellEnd"/>
          </w:p>
          <w:p w14:paraId="3EA32132" w14:textId="77777777" w:rsidR="008B1902" w:rsidRDefault="008B1902" w:rsidP="004D412D">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14:paraId="133D60B2" w14:textId="77777777" w:rsidR="008B1902" w:rsidRDefault="008B1902" w:rsidP="004D412D">
            <w:pPr>
              <w:spacing w:after="0" w:line="240" w:lineRule="auto"/>
            </w:pPr>
            <w:r>
              <w:rPr>
                <w:b/>
              </w:rPr>
              <w:t>Training grade/post</w:t>
            </w:r>
            <w:r>
              <w:t>:</w:t>
            </w:r>
          </w:p>
          <w:p w14:paraId="34B344DC" w14:textId="77777777" w:rsidR="008B1902" w:rsidRDefault="008B1902" w:rsidP="004D412D">
            <w:pPr>
              <w:spacing w:after="0" w:line="240" w:lineRule="auto"/>
              <w:rPr>
                <w:rFonts w:cs="Times New Roman"/>
              </w:rPr>
            </w:pPr>
            <w:r>
              <w:t>Functional Urology Fellow</w:t>
            </w:r>
          </w:p>
        </w:tc>
      </w:tr>
      <w:tr w:rsidR="008B1902" w14:paraId="580B3D70" w14:textId="77777777" w:rsidTr="008B1902">
        <w:tc>
          <w:tcPr>
            <w:tcW w:w="9016" w:type="dxa"/>
            <w:gridSpan w:val="2"/>
            <w:tcBorders>
              <w:top w:val="single" w:sz="4" w:space="0" w:color="auto"/>
              <w:left w:val="single" w:sz="4" w:space="0" w:color="auto"/>
              <w:bottom w:val="single" w:sz="4" w:space="0" w:color="auto"/>
              <w:right w:val="single" w:sz="4" w:space="0" w:color="auto"/>
            </w:tcBorders>
          </w:tcPr>
          <w:p w14:paraId="3F1C8C40" w14:textId="77777777" w:rsidR="008B1902" w:rsidRDefault="008B1902" w:rsidP="004D412D">
            <w:pPr>
              <w:spacing w:after="0" w:line="240" w:lineRule="auto"/>
            </w:pPr>
            <w:r>
              <w:rPr>
                <w:b/>
              </w:rPr>
              <w:t>Institution</w:t>
            </w:r>
            <w:r>
              <w:t>:</w:t>
            </w:r>
          </w:p>
          <w:p w14:paraId="453D5914" w14:textId="77777777" w:rsidR="008B1902" w:rsidRDefault="008B1902" w:rsidP="004D412D">
            <w:pPr>
              <w:spacing w:after="0" w:line="240" w:lineRule="auto"/>
              <w:rPr>
                <w:rFonts w:cs="Times New Roman"/>
              </w:rPr>
            </w:pPr>
            <w:r>
              <w:rPr>
                <w:rFonts w:cs="Times New Roman"/>
              </w:rPr>
              <w:t>James Cook University Hospital, South Tees Hospitals NHS Foundation Trust</w:t>
            </w:r>
          </w:p>
          <w:p w14:paraId="5D8F2855" w14:textId="77777777" w:rsidR="008B1902" w:rsidRDefault="008B1902" w:rsidP="004D412D">
            <w:pPr>
              <w:spacing w:after="0" w:line="240" w:lineRule="auto"/>
              <w:rPr>
                <w:rFonts w:cs="Times New Roman"/>
              </w:rPr>
            </w:pPr>
          </w:p>
        </w:tc>
      </w:tr>
      <w:tr w:rsidR="008B1902" w14:paraId="0B5D5835" w14:textId="77777777" w:rsidTr="008B1902">
        <w:tc>
          <w:tcPr>
            <w:tcW w:w="9016" w:type="dxa"/>
            <w:gridSpan w:val="2"/>
            <w:tcBorders>
              <w:top w:val="single" w:sz="4" w:space="0" w:color="auto"/>
              <w:left w:val="single" w:sz="4" w:space="0" w:color="auto"/>
              <w:bottom w:val="single" w:sz="4" w:space="0" w:color="auto"/>
              <w:right w:val="single" w:sz="4" w:space="0" w:color="auto"/>
            </w:tcBorders>
          </w:tcPr>
          <w:p w14:paraId="4240D57E" w14:textId="77777777" w:rsidR="008B1902" w:rsidRDefault="008B1902" w:rsidP="004D412D">
            <w:pPr>
              <w:spacing w:after="0" w:line="240" w:lineRule="auto"/>
            </w:pPr>
            <w:r>
              <w:rPr>
                <w:b/>
              </w:rPr>
              <w:t>Title of Presentation</w:t>
            </w:r>
            <w:r>
              <w:t>:</w:t>
            </w:r>
          </w:p>
          <w:p w14:paraId="4C4B1A84" w14:textId="77777777" w:rsidR="008B1902" w:rsidRDefault="008B1902" w:rsidP="004D412D">
            <w:pPr>
              <w:spacing w:after="0" w:line="240" w:lineRule="auto"/>
              <w:rPr>
                <w:rFonts w:cs="Times New Roman"/>
              </w:rPr>
            </w:pPr>
            <w:r w:rsidRPr="008E6632">
              <w:rPr>
                <w:b/>
                <w:bCs/>
                <w:i/>
                <w:iCs/>
              </w:rPr>
              <w:t>Is it the new Gold Standard to manage Refractory Urinary Tract infections? –</w:t>
            </w:r>
            <w:r>
              <w:rPr>
                <w:b/>
                <w:bCs/>
                <w:i/>
                <w:iCs/>
              </w:rPr>
              <w:t xml:space="preserve"> </w:t>
            </w:r>
            <w:r w:rsidRPr="008E6632">
              <w:rPr>
                <w:b/>
                <w:bCs/>
                <w:i/>
                <w:iCs/>
              </w:rPr>
              <w:t>Experience from a dedicated complex UTI clinic</w:t>
            </w:r>
            <w:r>
              <w:rPr>
                <w:rFonts w:cs="Times New Roman"/>
              </w:rPr>
              <w:t xml:space="preserve"> </w:t>
            </w:r>
          </w:p>
          <w:p w14:paraId="78450853" w14:textId="77777777" w:rsidR="008B1902" w:rsidRPr="008E6632" w:rsidRDefault="008B1902" w:rsidP="004D412D">
            <w:pPr>
              <w:spacing w:after="0" w:line="240" w:lineRule="auto"/>
              <w:rPr>
                <w:b/>
                <w:bCs/>
                <w:i/>
                <w:iCs/>
              </w:rPr>
            </w:pPr>
          </w:p>
        </w:tc>
      </w:tr>
      <w:tr w:rsidR="008B1902" w14:paraId="2D00AF76" w14:textId="77777777" w:rsidTr="008B1902">
        <w:tc>
          <w:tcPr>
            <w:tcW w:w="9016" w:type="dxa"/>
            <w:gridSpan w:val="2"/>
            <w:tcBorders>
              <w:top w:val="single" w:sz="4" w:space="0" w:color="auto"/>
              <w:left w:val="single" w:sz="4" w:space="0" w:color="auto"/>
              <w:bottom w:val="single" w:sz="4" w:space="0" w:color="auto"/>
              <w:right w:val="single" w:sz="4" w:space="0" w:color="auto"/>
            </w:tcBorders>
          </w:tcPr>
          <w:p w14:paraId="170DAD11" w14:textId="77777777" w:rsidR="008B1902" w:rsidRDefault="008B1902" w:rsidP="004D412D">
            <w:pPr>
              <w:spacing w:after="0" w:line="240" w:lineRule="auto"/>
            </w:pPr>
            <w:r>
              <w:rPr>
                <w:b/>
              </w:rPr>
              <w:t>Authors</w:t>
            </w:r>
            <w:r>
              <w:t>:</w:t>
            </w:r>
          </w:p>
          <w:p w14:paraId="02B5276B" w14:textId="77777777" w:rsidR="008B1902" w:rsidRDefault="008B1902" w:rsidP="004D412D">
            <w:pPr>
              <w:spacing w:after="0" w:line="240" w:lineRule="auto"/>
            </w:pPr>
            <w:proofErr w:type="spellStart"/>
            <w:r>
              <w:t>Pragnitha</w:t>
            </w:r>
            <w:proofErr w:type="spellEnd"/>
            <w:r>
              <w:t xml:space="preserve"> </w:t>
            </w:r>
            <w:proofErr w:type="spellStart"/>
            <w:r>
              <w:t>Chitteti</w:t>
            </w:r>
            <w:proofErr w:type="spellEnd"/>
            <w:r>
              <w:t xml:space="preserve">, Ahmed </w:t>
            </w:r>
            <w:proofErr w:type="spellStart"/>
            <w:r>
              <w:t>Ghonaimy</w:t>
            </w:r>
            <w:proofErr w:type="spellEnd"/>
            <w:r>
              <w:t xml:space="preserve">, Inyang </w:t>
            </w:r>
            <w:proofErr w:type="spellStart"/>
            <w:r>
              <w:t>Ekpeno</w:t>
            </w:r>
            <w:proofErr w:type="spellEnd"/>
            <w:r>
              <w:t>, Jayne Morris-</w:t>
            </w:r>
            <w:proofErr w:type="spellStart"/>
            <w:r>
              <w:t>Laverick</w:t>
            </w:r>
            <w:proofErr w:type="spellEnd"/>
            <w:r>
              <w:t xml:space="preserve">, Stephanie </w:t>
            </w:r>
            <w:proofErr w:type="spellStart"/>
            <w:r>
              <w:t>Bezemer</w:t>
            </w:r>
            <w:proofErr w:type="spellEnd"/>
            <w:r>
              <w:t xml:space="preserve">, </w:t>
            </w:r>
            <w:proofErr w:type="spellStart"/>
            <w:r>
              <w:t>Mehwash</w:t>
            </w:r>
            <w:proofErr w:type="spellEnd"/>
            <w:r>
              <w:t xml:space="preserve"> Nadeem</w:t>
            </w:r>
          </w:p>
          <w:p w14:paraId="7AB5D6DC" w14:textId="77777777" w:rsidR="008B1902" w:rsidRPr="00814E27" w:rsidRDefault="008B1902" w:rsidP="004D412D">
            <w:pPr>
              <w:spacing w:after="0" w:line="240" w:lineRule="auto"/>
            </w:pPr>
          </w:p>
        </w:tc>
      </w:tr>
      <w:tr w:rsidR="008B1902" w14:paraId="25157D70"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0E57FDE3" w14:textId="77777777" w:rsidR="008B1902" w:rsidRDefault="008B1902" w:rsidP="004D412D">
            <w:pPr>
              <w:spacing w:after="0" w:line="240" w:lineRule="auto"/>
            </w:pPr>
            <w:r>
              <w:rPr>
                <w:b/>
              </w:rPr>
              <w:t>Aims</w:t>
            </w:r>
            <w:r>
              <w:t>: Recurrent Urinary tract infections (</w:t>
            </w:r>
            <w:proofErr w:type="spellStart"/>
            <w:r>
              <w:t>rUTIs</w:t>
            </w:r>
            <w:proofErr w:type="spellEnd"/>
            <w:r>
              <w:t>) are challenging to manage, and their persistence and relapse after treatment warrant a different management approach. Our aim was to assess the efficacy of intravesical Gentamicin in this difficult-to-treat cohort.</w:t>
            </w:r>
          </w:p>
          <w:p w14:paraId="60B3B3E5" w14:textId="77777777" w:rsidR="008B1902" w:rsidRDefault="008B1902" w:rsidP="004D412D">
            <w:pPr>
              <w:spacing w:after="0" w:line="240" w:lineRule="auto"/>
            </w:pPr>
          </w:p>
          <w:p w14:paraId="69094E80" w14:textId="77777777" w:rsidR="008B1902" w:rsidRPr="00F80A72" w:rsidRDefault="008B1902" w:rsidP="004D412D">
            <w:pPr>
              <w:spacing w:after="0" w:line="240" w:lineRule="auto"/>
            </w:pPr>
          </w:p>
        </w:tc>
      </w:tr>
      <w:tr w:rsidR="008B1902" w14:paraId="5CD876DB"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4479EB9B" w14:textId="77777777" w:rsidR="008B1902" w:rsidRDefault="008B1902" w:rsidP="004D412D">
            <w:pPr>
              <w:spacing w:after="0" w:line="240" w:lineRule="auto"/>
            </w:pPr>
            <w:r>
              <w:rPr>
                <w:b/>
              </w:rPr>
              <w:t>Methods</w:t>
            </w:r>
            <w:r>
              <w:t>: A prospective-cohort study was conducted between May 2021-May 2023 including the patients from our complex UTI clinic, who subsequently received Intravesical Gentamicin (locally devised protocol, Figure-1) as a tertiary treatment after MDT discussion. Patients’ demographics, comorbidities, urine culture- sensitivities, and treatment outcomes (reduction in UTI frequency &amp; urosepsis, Symptomatic and Quality of Life Improvement) were recorded. Outcomes were assessed at a minimum follow-up period of 6 months after treatment completion.</w:t>
            </w:r>
          </w:p>
          <w:p w14:paraId="145082D0" w14:textId="77777777" w:rsidR="008B1902" w:rsidRDefault="008B1902" w:rsidP="004D412D">
            <w:pPr>
              <w:spacing w:after="0" w:line="240" w:lineRule="auto"/>
            </w:pPr>
          </w:p>
          <w:p w14:paraId="6FB70F72" w14:textId="77777777" w:rsidR="008B1902" w:rsidRPr="00F80A72" w:rsidRDefault="008B1902" w:rsidP="004D412D">
            <w:pPr>
              <w:spacing w:after="0" w:line="240" w:lineRule="auto"/>
            </w:pPr>
          </w:p>
        </w:tc>
      </w:tr>
      <w:tr w:rsidR="008B1902" w14:paraId="3F57215E"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7754A5DE" w14:textId="77777777" w:rsidR="008B1902" w:rsidRDefault="008B1902" w:rsidP="004D412D">
            <w:pPr>
              <w:spacing w:after="0" w:line="240" w:lineRule="auto"/>
            </w:pPr>
            <w:r>
              <w:rPr>
                <w:b/>
              </w:rPr>
              <w:t>Results</w:t>
            </w:r>
            <w:r>
              <w:t>: 46 patients were included [(Male: 10, Female:36, Mean age: 55+/-17.19)]. 44 (96%)</w:t>
            </w:r>
          </w:p>
          <w:p w14:paraId="056C2E96" w14:textId="77777777" w:rsidR="008B1902" w:rsidRDefault="008B1902" w:rsidP="004D412D">
            <w:pPr>
              <w:spacing w:after="0" w:line="240" w:lineRule="auto"/>
            </w:pPr>
            <w:r>
              <w:t>patients had significant comorbidities including 33% who were immunocompromised</w:t>
            </w:r>
          </w:p>
          <w:p w14:paraId="2243EA90" w14:textId="77777777" w:rsidR="008B1902" w:rsidRDefault="008B1902" w:rsidP="004D412D">
            <w:pPr>
              <w:spacing w:after="0" w:line="240" w:lineRule="auto"/>
            </w:pPr>
            <w:r>
              <w:t>and 48% with underlying neuropathy. 21 (46%) patients had E. coli isolated from urine cultures, 46% had multidrug resistance pattern with UTI frequency of &gt;6 episodes/ year in over 74% patients. Post treatment, hospital admission rates due to urosepsis reduced from 41% to 4 % (p-value&lt;0.001) and multidrug resistance on the urine cultures reduced from 46% to 11% (p-value= 0.01).</w:t>
            </w:r>
          </w:p>
          <w:p w14:paraId="228A6763" w14:textId="77777777" w:rsidR="008B1902" w:rsidRDefault="008B1902" w:rsidP="004D412D">
            <w:pPr>
              <w:spacing w:after="0" w:line="240" w:lineRule="auto"/>
            </w:pPr>
            <w:r>
              <w:t>80.4% (n=37) patients showed significant reduction in the frequency of UTIs with 72%</w:t>
            </w:r>
          </w:p>
          <w:p w14:paraId="32AD08F9" w14:textId="77777777" w:rsidR="008B1902" w:rsidRDefault="008B1902" w:rsidP="004D412D">
            <w:pPr>
              <w:spacing w:after="0" w:line="240" w:lineRule="auto"/>
            </w:pPr>
            <w:r>
              <w:t>patients reporting good to excellent PGI-I (Patient Global Impression of Improvement) score</w:t>
            </w:r>
          </w:p>
          <w:p w14:paraId="333E014A" w14:textId="77777777" w:rsidR="008B1902" w:rsidRDefault="008B1902" w:rsidP="004D412D">
            <w:pPr>
              <w:spacing w:after="0" w:line="240" w:lineRule="auto"/>
            </w:pPr>
            <w:r>
              <w:t>and 76%, significant improvement in quality of life (p-value&lt;0.001). Serum gentamicin levels were undetectable in all patients at one week after initiation of treatment.</w:t>
            </w:r>
          </w:p>
          <w:p w14:paraId="6CC43CA3" w14:textId="77777777" w:rsidR="008B1902" w:rsidRPr="00F80A72" w:rsidRDefault="008B1902" w:rsidP="004D412D">
            <w:pPr>
              <w:spacing w:after="0" w:line="240" w:lineRule="auto"/>
            </w:pPr>
          </w:p>
        </w:tc>
      </w:tr>
      <w:tr w:rsidR="008B1902" w14:paraId="106ECF04"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0CA7D936" w14:textId="77777777" w:rsidR="008B1902" w:rsidRDefault="008B1902" w:rsidP="004D412D">
            <w:pPr>
              <w:spacing w:after="0" w:line="240" w:lineRule="auto"/>
            </w:pPr>
            <w:r>
              <w:rPr>
                <w:b/>
              </w:rPr>
              <w:t>Conclusion</w:t>
            </w:r>
            <w:r>
              <w:t>: Intravesical Gentamicin is safe and effective in treating refractory and recurrent UTIs.</w:t>
            </w:r>
          </w:p>
          <w:p w14:paraId="1E4499BA" w14:textId="77777777" w:rsidR="008B1902" w:rsidRDefault="008B1902" w:rsidP="004D412D">
            <w:pPr>
              <w:spacing w:after="0" w:line="240" w:lineRule="auto"/>
            </w:pPr>
          </w:p>
          <w:p w14:paraId="48CA3562" w14:textId="77777777" w:rsidR="008B1902" w:rsidRPr="00F80A72" w:rsidRDefault="008B1902" w:rsidP="004D412D">
            <w:pPr>
              <w:spacing w:after="0" w:line="240" w:lineRule="auto"/>
            </w:pPr>
          </w:p>
        </w:tc>
      </w:tr>
    </w:tbl>
    <w:p w14:paraId="521C8100" w14:textId="77777777" w:rsidR="00E8303A" w:rsidRPr="00075CC4" w:rsidRDefault="00E8303A" w:rsidP="00E8303A">
      <w:pPr>
        <w:rPr>
          <w:b/>
          <w:sz w:val="28"/>
          <w:szCs w:val="28"/>
        </w:rPr>
      </w:pPr>
    </w:p>
    <w:p w14:paraId="4DD80FC0" w14:textId="77777777" w:rsidR="00E8303A" w:rsidRDefault="00E8303A" w:rsidP="00E8303A">
      <w:pPr>
        <w:rPr>
          <w:b/>
          <w:sz w:val="24"/>
          <w:szCs w:val="24"/>
        </w:rPr>
      </w:pPr>
    </w:p>
    <w:p w14:paraId="74E10D7E" w14:textId="77777777" w:rsidR="00E8303A" w:rsidRDefault="00E8303A" w:rsidP="00E8303A">
      <w:pPr>
        <w:rPr>
          <w:b/>
          <w:sz w:val="24"/>
          <w:szCs w:val="24"/>
        </w:rPr>
      </w:pPr>
    </w:p>
    <w:p w14:paraId="78CF8551" w14:textId="77777777" w:rsidR="00E8303A" w:rsidRDefault="00E8303A" w:rsidP="00E8303A">
      <w:pPr>
        <w:rPr>
          <w:b/>
          <w:sz w:val="24"/>
          <w:szCs w:val="24"/>
        </w:rPr>
      </w:pPr>
    </w:p>
    <w:p w14:paraId="63766EDB" w14:textId="707D9024" w:rsidR="00E8303A" w:rsidRDefault="00E8303A" w:rsidP="00E8303A">
      <w:pPr>
        <w:rPr>
          <w:sz w:val="24"/>
          <w:szCs w:val="24"/>
        </w:rPr>
      </w:pPr>
    </w:p>
    <w:p w14:paraId="79B55E7F" w14:textId="4E7061E1" w:rsidR="008B1902" w:rsidRDefault="008B1902" w:rsidP="00E8303A">
      <w:pPr>
        <w:rPr>
          <w:sz w:val="24"/>
          <w:szCs w:val="24"/>
        </w:rPr>
      </w:pPr>
    </w:p>
    <w:p w14:paraId="4B9A754E" w14:textId="1C0FB2BC" w:rsidR="008B1902" w:rsidRDefault="008B1902" w:rsidP="00E8303A">
      <w:pPr>
        <w:rPr>
          <w:sz w:val="24"/>
          <w:szCs w:val="24"/>
        </w:rPr>
      </w:pPr>
      <w:r>
        <w:rPr>
          <w:noProof/>
        </w:rPr>
        <w:drawing>
          <wp:anchor distT="0" distB="0" distL="114300" distR="114300" simplePos="0" relativeHeight="251658240" behindDoc="0" locked="0" layoutInCell="1" allowOverlap="1" wp14:anchorId="31520B21" wp14:editId="08B882AB">
            <wp:simplePos x="0" y="0"/>
            <wp:positionH relativeFrom="column">
              <wp:posOffset>668655</wp:posOffset>
            </wp:positionH>
            <wp:positionV relativeFrom="paragraph">
              <wp:posOffset>261620</wp:posOffset>
            </wp:positionV>
            <wp:extent cx="5731510" cy="4084320"/>
            <wp:effectExtent l="0" t="0" r="0" b="5080"/>
            <wp:wrapSquare wrapText="bothSides"/>
            <wp:docPr id="4" name="Picture 4" descr="A diagram of a medical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medical procedur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084320"/>
                    </a:xfrm>
                    <a:prstGeom prst="rect">
                      <a:avLst/>
                    </a:prstGeom>
                  </pic:spPr>
                </pic:pic>
              </a:graphicData>
            </a:graphic>
            <wp14:sizeRelH relativeFrom="page">
              <wp14:pctWidth>0</wp14:pctWidth>
            </wp14:sizeRelH>
            <wp14:sizeRelV relativeFrom="page">
              <wp14:pctHeight>0</wp14:pctHeight>
            </wp14:sizeRelV>
          </wp:anchor>
        </w:drawing>
      </w:r>
    </w:p>
    <w:p w14:paraId="47516CD2" w14:textId="76B2CEE5" w:rsidR="008B1902" w:rsidRDefault="008B1902" w:rsidP="00E8303A">
      <w:pPr>
        <w:rPr>
          <w:sz w:val="24"/>
          <w:szCs w:val="24"/>
        </w:rPr>
      </w:pPr>
    </w:p>
    <w:p w14:paraId="3EF2CECC" w14:textId="03F4409B" w:rsidR="008B1902" w:rsidRDefault="008B1902" w:rsidP="00E8303A">
      <w:pPr>
        <w:rPr>
          <w:sz w:val="24"/>
          <w:szCs w:val="24"/>
        </w:rPr>
      </w:pPr>
    </w:p>
    <w:p w14:paraId="4C5F1B47" w14:textId="77A649A2" w:rsidR="008B1902" w:rsidRDefault="008B1902" w:rsidP="00E8303A">
      <w:pPr>
        <w:rPr>
          <w:sz w:val="24"/>
          <w:szCs w:val="24"/>
        </w:rPr>
      </w:pPr>
    </w:p>
    <w:p w14:paraId="4163B9B2" w14:textId="29D7C698" w:rsidR="008B1902" w:rsidRDefault="008B1902" w:rsidP="00E8303A">
      <w:pPr>
        <w:rPr>
          <w:sz w:val="24"/>
          <w:szCs w:val="24"/>
        </w:rPr>
      </w:pPr>
    </w:p>
    <w:p w14:paraId="55EA8265" w14:textId="77777777" w:rsidR="008B1902" w:rsidRPr="00115B8A" w:rsidRDefault="008B1902" w:rsidP="00E8303A">
      <w:pPr>
        <w:rPr>
          <w:sz w:val="24"/>
          <w:szCs w:val="24"/>
        </w:rPr>
      </w:pPr>
    </w:p>
    <w:p w14:paraId="7A60D9FD" w14:textId="77777777" w:rsidR="008B1902" w:rsidRDefault="008B1902" w:rsidP="00E8303A">
      <w:pPr>
        <w:tabs>
          <w:tab w:val="left" w:pos="2396"/>
        </w:tabs>
        <w:rPr>
          <w:rFonts w:ascii="Arial" w:hAnsi="Arial" w:cs="Arial"/>
          <w:b/>
          <w:sz w:val="24"/>
          <w:szCs w:val="24"/>
        </w:rPr>
      </w:pPr>
    </w:p>
    <w:p w14:paraId="0A06FC37" w14:textId="77777777" w:rsidR="008B1902" w:rsidRDefault="008B1902" w:rsidP="00E8303A">
      <w:pPr>
        <w:tabs>
          <w:tab w:val="left" w:pos="2396"/>
        </w:tabs>
        <w:rPr>
          <w:rFonts w:ascii="Arial" w:hAnsi="Arial" w:cs="Arial"/>
          <w:b/>
          <w:sz w:val="24"/>
          <w:szCs w:val="24"/>
        </w:rPr>
      </w:pPr>
    </w:p>
    <w:p w14:paraId="18FC43B2" w14:textId="77777777" w:rsidR="008B1902" w:rsidRDefault="008B1902" w:rsidP="00E8303A">
      <w:pPr>
        <w:tabs>
          <w:tab w:val="left" w:pos="2396"/>
        </w:tabs>
        <w:rPr>
          <w:rFonts w:ascii="Arial" w:hAnsi="Arial" w:cs="Arial"/>
          <w:b/>
          <w:sz w:val="24"/>
          <w:szCs w:val="24"/>
        </w:rPr>
      </w:pPr>
    </w:p>
    <w:p w14:paraId="2B8ED613" w14:textId="77777777" w:rsidR="008B1902" w:rsidRDefault="008B1902" w:rsidP="00E8303A">
      <w:pPr>
        <w:tabs>
          <w:tab w:val="left" w:pos="2396"/>
        </w:tabs>
        <w:rPr>
          <w:rFonts w:ascii="Arial" w:hAnsi="Arial" w:cs="Arial"/>
          <w:b/>
          <w:sz w:val="24"/>
          <w:szCs w:val="24"/>
        </w:rPr>
      </w:pPr>
    </w:p>
    <w:p w14:paraId="156CFAB3" w14:textId="77777777" w:rsidR="008B1902" w:rsidRDefault="008B1902" w:rsidP="00E8303A">
      <w:pPr>
        <w:tabs>
          <w:tab w:val="left" w:pos="2396"/>
        </w:tabs>
        <w:rPr>
          <w:rFonts w:ascii="Arial" w:hAnsi="Arial" w:cs="Arial"/>
          <w:b/>
          <w:sz w:val="24"/>
          <w:szCs w:val="24"/>
        </w:rPr>
      </w:pPr>
    </w:p>
    <w:p w14:paraId="10859E54" w14:textId="10DA580F" w:rsidR="009A3262" w:rsidRDefault="009A3262" w:rsidP="00E8303A">
      <w:pPr>
        <w:tabs>
          <w:tab w:val="left" w:pos="2396"/>
        </w:tabs>
        <w:rPr>
          <w:rFonts w:ascii="Arial" w:hAnsi="Arial" w:cs="Arial"/>
          <w:b/>
          <w:sz w:val="24"/>
          <w:szCs w:val="24"/>
        </w:rPr>
      </w:pPr>
    </w:p>
    <w:p w14:paraId="2370DF50" w14:textId="77777777" w:rsidR="008B1902" w:rsidRDefault="008B1902" w:rsidP="00E8303A">
      <w:pPr>
        <w:tabs>
          <w:tab w:val="left" w:pos="2396"/>
        </w:tabs>
        <w:rPr>
          <w:b/>
          <w:sz w:val="28"/>
          <w:szCs w:val="28"/>
        </w:rPr>
      </w:pPr>
    </w:p>
    <w:p w14:paraId="5B2AD905" w14:textId="77777777" w:rsidR="00E8303A" w:rsidRPr="000752F5" w:rsidRDefault="00E8303A" w:rsidP="00E8303A">
      <w:pPr>
        <w:tabs>
          <w:tab w:val="left" w:pos="2396"/>
        </w:tabs>
        <w:rPr>
          <w:sz w:val="24"/>
          <w:szCs w:val="24"/>
        </w:rPr>
      </w:pPr>
    </w:p>
    <w:p w14:paraId="14FA7845" w14:textId="3BB06452" w:rsidR="00E8303A" w:rsidRDefault="00E8303A">
      <w:pPr>
        <w:rPr>
          <w:b/>
          <w:sz w:val="28"/>
          <w:szCs w:val="28"/>
          <w:u w:val="single"/>
        </w:rPr>
      </w:pPr>
    </w:p>
    <w:p w14:paraId="4A02D73F" w14:textId="77777777" w:rsidR="00E8303A" w:rsidRDefault="00E8303A">
      <w:pPr>
        <w:rPr>
          <w:b/>
          <w:sz w:val="28"/>
          <w:szCs w:val="28"/>
          <w:u w:val="single"/>
        </w:rPr>
      </w:pPr>
    </w:p>
    <w:p w14:paraId="5CC39E4E" w14:textId="77777777" w:rsidR="00E8303A" w:rsidRDefault="00E8303A">
      <w:pPr>
        <w:rPr>
          <w:b/>
          <w:sz w:val="28"/>
          <w:szCs w:val="28"/>
          <w:u w:val="single"/>
        </w:rPr>
      </w:pPr>
    </w:p>
    <w:p w14:paraId="3C6E8C3C" w14:textId="77777777" w:rsidR="00E8303A" w:rsidRDefault="00E8303A">
      <w:pPr>
        <w:rPr>
          <w:b/>
          <w:sz w:val="28"/>
          <w:szCs w:val="28"/>
          <w:u w:val="single"/>
        </w:rPr>
      </w:pPr>
    </w:p>
    <w:p w14:paraId="3354A5A1" w14:textId="77777777" w:rsidR="009A3262" w:rsidRDefault="009A3262">
      <w:pPr>
        <w:rPr>
          <w:b/>
          <w:sz w:val="28"/>
          <w:szCs w:val="28"/>
          <w:u w:val="single"/>
        </w:rPr>
      </w:pPr>
    </w:p>
    <w:p w14:paraId="41D8F464" w14:textId="3B2486D5" w:rsidR="008B1902" w:rsidRDefault="008B1902">
      <w:pPr>
        <w:rPr>
          <w:rFonts w:ascii="Arial" w:hAnsi="Arial" w:cs="Arial"/>
          <w:b/>
          <w:sz w:val="28"/>
          <w:szCs w:val="28"/>
          <w:u w:val="single"/>
        </w:rPr>
      </w:pPr>
    </w:p>
    <w:p w14:paraId="03555F71" w14:textId="7D3B1F27" w:rsidR="008B1902" w:rsidRDefault="008B1902">
      <w:pPr>
        <w:rPr>
          <w:rFonts w:ascii="Arial" w:hAnsi="Arial" w:cs="Arial"/>
          <w:b/>
          <w:sz w:val="28"/>
          <w:szCs w:val="28"/>
          <w:u w:val="single"/>
        </w:rPr>
      </w:pPr>
    </w:p>
    <w:p w14:paraId="602728B5" w14:textId="59519D2A" w:rsidR="008B1902" w:rsidRDefault="008B1902">
      <w:pPr>
        <w:rPr>
          <w:rFonts w:ascii="Arial" w:hAnsi="Arial" w:cs="Arial"/>
          <w:b/>
          <w:sz w:val="28"/>
          <w:szCs w:val="28"/>
          <w:u w:val="single"/>
        </w:rPr>
      </w:pPr>
    </w:p>
    <w:p w14:paraId="2B07464D" w14:textId="5120BCFB" w:rsidR="008B1902" w:rsidRDefault="008B1902">
      <w:pPr>
        <w:rPr>
          <w:rFonts w:ascii="Arial" w:hAnsi="Arial" w:cs="Arial"/>
          <w:b/>
          <w:sz w:val="28"/>
          <w:szCs w:val="28"/>
          <w:u w:val="single"/>
        </w:rPr>
      </w:pPr>
    </w:p>
    <w:p w14:paraId="6FFECE2F" w14:textId="1D38DB96" w:rsidR="008B1902" w:rsidRDefault="008B1902">
      <w:pPr>
        <w:rPr>
          <w:rFonts w:ascii="Arial" w:hAnsi="Arial" w:cs="Arial"/>
          <w:b/>
          <w:sz w:val="28"/>
          <w:szCs w:val="28"/>
          <w:u w:val="single"/>
        </w:rPr>
      </w:pPr>
    </w:p>
    <w:p w14:paraId="294CBC5F" w14:textId="4381C3C4" w:rsidR="008B1902" w:rsidRPr="008B1902" w:rsidRDefault="008B1902">
      <w:pPr>
        <w:rPr>
          <w:rFonts w:ascii="Arial" w:hAnsi="Arial" w:cs="Arial"/>
          <w:b/>
          <w:sz w:val="24"/>
          <w:szCs w:val="24"/>
        </w:rPr>
      </w:pPr>
      <w:r w:rsidRPr="008B1902">
        <w:rPr>
          <w:rFonts w:ascii="Arial" w:hAnsi="Arial" w:cs="Arial"/>
          <w:b/>
          <w:sz w:val="24"/>
          <w:szCs w:val="24"/>
        </w:rPr>
        <w:t>Abstract 7</w:t>
      </w:r>
    </w:p>
    <w:p w14:paraId="4D6CB477" w14:textId="5E542AE5" w:rsidR="008B1902" w:rsidRDefault="008B1902">
      <w:pPr>
        <w:rPr>
          <w:rFonts w:ascii="Arial" w:hAnsi="Arial" w:cs="Arial"/>
          <w:b/>
          <w:sz w:val="28"/>
          <w:szCs w:val="28"/>
          <w:u w:val="single"/>
        </w:rPr>
      </w:pPr>
    </w:p>
    <w:tbl>
      <w:tblPr>
        <w:tblpPr w:leftFromText="180" w:rightFromText="180" w:vertAnchor="page" w:horzAnchor="margin" w:tblpXSpec="center"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3"/>
        <w:gridCol w:w="3533"/>
      </w:tblGrid>
      <w:tr w:rsidR="008B1902" w14:paraId="52D0D7C2" w14:textId="77777777" w:rsidTr="008B1902">
        <w:tc>
          <w:tcPr>
            <w:tcW w:w="5483" w:type="dxa"/>
            <w:tcBorders>
              <w:top w:val="single" w:sz="4" w:space="0" w:color="auto"/>
              <w:left w:val="single" w:sz="4" w:space="0" w:color="auto"/>
              <w:bottom w:val="single" w:sz="4" w:space="0" w:color="auto"/>
              <w:right w:val="single" w:sz="4" w:space="0" w:color="auto"/>
            </w:tcBorders>
          </w:tcPr>
          <w:p w14:paraId="31FED2B1" w14:textId="77777777" w:rsidR="008B1902" w:rsidRDefault="008B1902" w:rsidP="008B1902">
            <w:pPr>
              <w:spacing w:after="0" w:line="240" w:lineRule="auto"/>
            </w:pPr>
            <w:r>
              <w:rPr>
                <w:b/>
              </w:rPr>
              <w:t>Name of Presenter</w:t>
            </w:r>
            <w:r>
              <w:t>: Rebecca Hall &amp; Sir John Burn</w:t>
            </w:r>
          </w:p>
          <w:p w14:paraId="17E59EC1" w14:textId="77777777" w:rsidR="008B1902" w:rsidRDefault="008B1902" w:rsidP="008B1902">
            <w:pPr>
              <w:spacing w:after="0" w:line="240" w:lineRule="auto"/>
              <w:rPr>
                <w:rFonts w:cs="Times New Roman"/>
              </w:rPr>
            </w:pPr>
          </w:p>
        </w:tc>
        <w:tc>
          <w:tcPr>
            <w:tcW w:w="3533" w:type="dxa"/>
            <w:tcBorders>
              <w:top w:val="single" w:sz="4" w:space="0" w:color="auto"/>
              <w:left w:val="single" w:sz="4" w:space="0" w:color="auto"/>
              <w:bottom w:val="single" w:sz="4" w:space="0" w:color="auto"/>
              <w:right w:val="single" w:sz="4" w:space="0" w:color="auto"/>
            </w:tcBorders>
            <w:hideMark/>
          </w:tcPr>
          <w:p w14:paraId="5F080C68" w14:textId="77777777" w:rsidR="008B1902" w:rsidRDefault="008B1902" w:rsidP="008B1902">
            <w:pPr>
              <w:spacing w:after="0" w:line="240" w:lineRule="auto"/>
              <w:rPr>
                <w:rFonts w:cs="Times New Roman"/>
              </w:rPr>
            </w:pPr>
            <w:r>
              <w:rPr>
                <w:b/>
              </w:rPr>
              <w:t>Training grade/post</w:t>
            </w:r>
            <w:r>
              <w:t>: Clinical research associate/Prof of Clinical Genetics</w:t>
            </w:r>
          </w:p>
        </w:tc>
      </w:tr>
      <w:tr w:rsidR="008B1902" w14:paraId="5148D200" w14:textId="77777777" w:rsidTr="008B1902">
        <w:tc>
          <w:tcPr>
            <w:tcW w:w="9016" w:type="dxa"/>
            <w:gridSpan w:val="2"/>
            <w:tcBorders>
              <w:top w:val="single" w:sz="4" w:space="0" w:color="auto"/>
              <w:left w:val="single" w:sz="4" w:space="0" w:color="auto"/>
              <w:bottom w:val="single" w:sz="4" w:space="0" w:color="auto"/>
              <w:right w:val="single" w:sz="4" w:space="0" w:color="auto"/>
            </w:tcBorders>
          </w:tcPr>
          <w:p w14:paraId="30F20F7C" w14:textId="77777777" w:rsidR="008B1902" w:rsidRPr="000E0532" w:rsidRDefault="008B1902" w:rsidP="008B1902">
            <w:r>
              <w:rPr>
                <w:b/>
              </w:rPr>
              <w:t>Institution</w:t>
            </w:r>
            <w:r>
              <w:t>: Newcastle University Translational and Research Institute &amp; The Newcastle upon Tyne Hospitals NHS Foundation Trust</w:t>
            </w:r>
          </w:p>
        </w:tc>
      </w:tr>
      <w:tr w:rsidR="008B1902" w14:paraId="73F9921F" w14:textId="77777777" w:rsidTr="008B1902">
        <w:trPr>
          <w:trHeight w:val="938"/>
        </w:trPr>
        <w:tc>
          <w:tcPr>
            <w:tcW w:w="9016" w:type="dxa"/>
            <w:gridSpan w:val="2"/>
            <w:tcBorders>
              <w:top w:val="single" w:sz="4" w:space="0" w:color="auto"/>
              <w:left w:val="single" w:sz="4" w:space="0" w:color="auto"/>
              <w:bottom w:val="single" w:sz="4" w:space="0" w:color="auto"/>
              <w:right w:val="single" w:sz="4" w:space="0" w:color="auto"/>
            </w:tcBorders>
          </w:tcPr>
          <w:p w14:paraId="71AD2E8D" w14:textId="77777777" w:rsidR="008B1902" w:rsidRDefault="008B1902" w:rsidP="008B1902">
            <w:pPr>
              <w:spacing w:after="0" w:line="240" w:lineRule="auto"/>
            </w:pPr>
            <w:r>
              <w:rPr>
                <w:b/>
              </w:rPr>
              <w:t>Title of Presentation</w:t>
            </w:r>
            <w:r>
              <w:t>:</w:t>
            </w:r>
          </w:p>
          <w:p w14:paraId="1BDFCE49" w14:textId="77777777" w:rsidR="008B1902" w:rsidRPr="00E8139B" w:rsidRDefault="008B1902" w:rsidP="008B1902">
            <w:r>
              <w:t>Prospective mismatch repair deficiency screening of Upper tract urothelial carcinomas using urine and tumour microsatellite instability analysis</w:t>
            </w:r>
          </w:p>
        </w:tc>
      </w:tr>
      <w:tr w:rsidR="008B1902" w14:paraId="4898C9E2" w14:textId="77777777" w:rsidTr="008B1902">
        <w:tc>
          <w:tcPr>
            <w:tcW w:w="9016" w:type="dxa"/>
            <w:gridSpan w:val="2"/>
            <w:tcBorders>
              <w:top w:val="single" w:sz="4" w:space="0" w:color="auto"/>
              <w:left w:val="single" w:sz="4" w:space="0" w:color="auto"/>
              <w:bottom w:val="single" w:sz="4" w:space="0" w:color="auto"/>
              <w:right w:val="single" w:sz="4" w:space="0" w:color="auto"/>
            </w:tcBorders>
          </w:tcPr>
          <w:p w14:paraId="486793AA" w14:textId="77777777" w:rsidR="008B1902" w:rsidRPr="000E0532" w:rsidRDefault="008B1902" w:rsidP="008B1902">
            <w:r>
              <w:rPr>
                <w:b/>
              </w:rPr>
              <w:t>Authors</w:t>
            </w:r>
            <w:r>
              <w:t xml:space="preserve">: Rebecca Hall, Christine Hayes, Rachel Phelps, Arjun Nambiar, Bhavan Rai, Mary Ferrier, Donna Job, Patricia Herrero, Ruth Wake, Mauro </w:t>
            </w:r>
            <w:proofErr w:type="spellStart"/>
            <w:r>
              <w:t>Santibanez</w:t>
            </w:r>
            <w:proofErr w:type="spellEnd"/>
            <w:r>
              <w:t xml:space="preserve"> </w:t>
            </w:r>
            <w:proofErr w:type="spellStart"/>
            <w:r>
              <w:t>Koref</w:t>
            </w:r>
            <w:proofErr w:type="spellEnd"/>
            <w:r>
              <w:t>, Michael Jackson, Ciaron McAnulty, Richard Gallon, John Burn</w:t>
            </w:r>
          </w:p>
        </w:tc>
      </w:tr>
      <w:tr w:rsidR="008B1902" w14:paraId="17E3D3E3"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2885B6E0" w14:textId="77777777" w:rsidR="008B1902" w:rsidRPr="00E8139B" w:rsidRDefault="008B1902" w:rsidP="008B1902">
            <w:pPr>
              <w:spacing w:after="0" w:line="240" w:lineRule="auto"/>
              <w:rPr>
                <w:sz w:val="20"/>
                <w:szCs w:val="20"/>
              </w:rPr>
            </w:pPr>
            <w:r w:rsidRPr="00E8139B">
              <w:rPr>
                <w:b/>
                <w:sz w:val="20"/>
                <w:szCs w:val="20"/>
              </w:rPr>
              <w:t>Aims</w:t>
            </w:r>
            <w:r w:rsidRPr="00E8139B">
              <w:rPr>
                <w:sz w:val="20"/>
                <w:szCs w:val="20"/>
              </w:rPr>
              <w:t xml:space="preserve">: </w:t>
            </w:r>
          </w:p>
          <w:p w14:paraId="2CC565B3" w14:textId="77777777" w:rsidR="008B1902" w:rsidRDefault="008B1902" w:rsidP="008B1902">
            <w:pPr>
              <w:pStyle w:val="ListParagraph"/>
              <w:numPr>
                <w:ilvl w:val="0"/>
                <w:numId w:val="7"/>
              </w:numPr>
              <w:spacing w:after="0" w:line="240" w:lineRule="auto"/>
              <w:rPr>
                <w:rFonts w:cs="Times New Roman"/>
                <w:sz w:val="20"/>
                <w:szCs w:val="20"/>
              </w:rPr>
            </w:pPr>
            <w:r>
              <w:rPr>
                <w:rFonts w:cs="Times New Roman"/>
                <w:sz w:val="20"/>
                <w:szCs w:val="20"/>
              </w:rPr>
              <w:t>To enhance the detection and clinical management of microsatellite unstable urothelial cancers</w:t>
            </w:r>
          </w:p>
          <w:p w14:paraId="2BDB51F4" w14:textId="77777777" w:rsidR="008B1902" w:rsidRPr="00E8139B" w:rsidRDefault="008B1902" w:rsidP="008B1902">
            <w:pPr>
              <w:pStyle w:val="ListParagraph"/>
              <w:numPr>
                <w:ilvl w:val="0"/>
                <w:numId w:val="7"/>
              </w:numPr>
              <w:spacing w:after="0" w:line="240" w:lineRule="auto"/>
              <w:rPr>
                <w:rFonts w:cs="Times New Roman"/>
                <w:sz w:val="20"/>
                <w:szCs w:val="20"/>
              </w:rPr>
            </w:pPr>
          </w:p>
        </w:tc>
      </w:tr>
      <w:tr w:rsidR="008B1902" w14:paraId="43C15567" w14:textId="77777777" w:rsidTr="008B1902">
        <w:trPr>
          <w:trHeight w:val="2105"/>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1A446191" w14:textId="77777777" w:rsidR="008B1902" w:rsidRPr="00E8139B" w:rsidRDefault="008B1902" w:rsidP="008B1902">
            <w:pPr>
              <w:spacing w:after="0" w:line="240" w:lineRule="auto"/>
              <w:rPr>
                <w:sz w:val="20"/>
                <w:szCs w:val="20"/>
              </w:rPr>
            </w:pPr>
            <w:r w:rsidRPr="00E8139B">
              <w:rPr>
                <w:b/>
                <w:sz w:val="20"/>
                <w:szCs w:val="20"/>
              </w:rPr>
              <w:t>Methods</w:t>
            </w:r>
            <w:r w:rsidRPr="00E8139B">
              <w:rPr>
                <w:sz w:val="20"/>
                <w:szCs w:val="20"/>
              </w:rPr>
              <w:t>:</w:t>
            </w:r>
          </w:p>
          <w:p w14:paraId="4C5FB0B2" w14:textId="77777777" w:rsidR="008B1902" w:rsidRDefault="008B1902" w:rsidP="008B1902">
            <w:pPr>
              <w:pStyle w:val="ListParagraph"/>
              <w:numPr>
                <w:ilvl w:val="0"/>
                <w:numId w:val="8"/>
              </w:numPr>
              <w:spacing w:after="0" w:line="240" w:lineRule="auto"/>
              <w:rPr>
                <w:sz w:val="20"/>
                <w:szCs w:val="20"/>
              </w:rPr>
            </w:pPr>
            <w:r w:rsidRPr="00611103">
              <w:rPr>
                <w:sz w:val="20"/>
                <w:szCs w:val="20"/>
              </w:rPr>
              <w:t xml:space="preserve">142 MSH2 Lynch syndrome carriers were offered postal urine testing. </w:t>
            </w:r>
          </w:p>
          <w:p w14:paraId="0E0A7F46" w14:textId="77777777" w:rsidR="008B1902" w:rsidRPr="00611103" w:rsidRDefault="008B1902" w:rsidP="008B1902">
            <w:pPr>
              <w:pStyle w:val="ListParagraph"/>
              <w:numPr>
                <w:ilvl w:val="0"/>
                <w:numId w:val="8"/>
              </w:numPr>
              <w:spacing w:after="0" w:line="240" w:lineRule="auto"/>
              <w:rPr>
                <w:sz w:val="20"/>
                <w:szCs w:val="20"/>
              </w:rPr>
            </w:pPr>
            <w:r w:rsidRPr="00611103">
              <w:rPr>
                <w:sz w:val="20"/>
                <w:szCs w:val="20"/>
              </w:rPr>
              <w:t>We collected pre-operative urine and resected tumour samples from all patients undergoing a nephroureterectomy for UTUC at the Freeman Hospital since December 2022. Samples were analysed for mismatch repair deficiency (</w:t>
            </w:r>
            <w:proofErr w:type="spellStart"/>
            <w:r w:rsidRPr="00611103">
              <w:rPr>
                <w:sz w:val="20"/>
                <w:szCs w:val="20"/>
              </w:rPr>
              <w:t>MMRd</w:t>
            </w:r>
            <w:proofErr w:type="spellEnd"/>
            <w:r w:rsidRPr="00611103">
              <w:rPr>
                <w:sz w:val="20"/>
                <w:szCs w:val="20"/>
              </w:rPr>
              <w:t>) using the Newcastle MSI-plus assay (Gallon et al 2024 PMID</w:t>
            </w:r>
            <w:r w:rsidRPr="005A50A9">
              <w:t> </w:t>
            </w:r>
            <w:r w:rsidRPr="00611103">
              <w:rPr>
                <w:sz w:val="20"/>
                <w:szCs w:val="20"/>
              </w:rPr>
              <w:t xml:space="preserve">38962168). Patients with an MSI high signal in their tumour or urine were referred for germline LS testing. </w:t>
            </w:r>
          </w:p>
        </w:tc>
      </w:tr>
      <w:tr w:rsidR="008B1902" w14:paraId="6F7FDA5B" w14:textId="77777777" w:rsidTr="008B1902">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6AF63A5D" w14:textId="77777777" w:rsidR="008B1902" w:rsidRDefault="008B1902" w:rsidP="008B1902">
            <w:pPr>
              <w:rPr>
                <w:sz w:val="20"/>
                <w:szCs w:val="20"/>
              </w:rPr>
            </w:pPr>
            <w:r w:rsidRPr="00E8139B">
              <w:rPr>
                <w:b/>
                <w:sz w:val="20"/>
                <w:szCs w:val="20"/>
              </w:rPr>
              <w:t>Results</w:t>
            </w:r>
            <w:r w:rsidRPr="00E8139B">
              <w:rPr>
                <w:sz w:val="20"/>
                <w:szCs w:val="20"/>
              </w:rPr>
              <w:t xml:space="preserve">: </w:t>
            </w:r>
            <w:r>
              <w:rPr>
                <w:sz w:val="20"/>
                <w:szCs w:val="20"/>
              </w:rPr>
              <w:t>84/142 MSH2 carriers complied.  5 were found to have urothelial cancer. In two of these, postop urine testing detected cancer missed at operation. Two were cured endoscopically.</w:t>
            </w:r>
          </w:p>
          <w:p w14:paraId="0329FBD9" w14:textId="77777777" w:rsidR="008B1902" w:rsidRDefault="008B1902" w:rsidP="008B1902">
            <w:pPr>
              <w:rPr>
                <w:sz w:val="20"/>
                <w:szCs w:val="20"/>
              </w:rPr>
            </w:pPr>
            <w:r>
              <w:rPr>
                <w:sz w:val="20"/>
                <w:szCs w:val="20"/>
              </w:rPr>
              <w:t>We</w:t>
            </w:r>
            <w:r w:rsidRPr="00E8139B">
              <w:rPr>
                <w:sz w:val="20"/>
                <w:szCs w:val="20"/>
              </w:rPr>
              <w:t xml:space="preserve"> have completed paired urine and tumour analysis for 48 </w:t>
            </w:r>
            <w:r>
              <w:rPr>
                <w:sz w:val="20"/>
                <w:szCs w:val="20"/>
              </w:rPr>
              <w:t>incident UTUCs</w:t>
            </w:r>
            <w:r w:rsidRPr="00E8139B">
              <w:rPr>
                <w:sz w:val="20"/>
                <w:szCs w:val="20"/>
              </w:rPr>
              <w:t xml:space="preserve">, detecting mismatch repair deficiency in 3/48 (6.25%) of samples. A diagnosis of Lynch syndrome has been </w:t>
            </w:r>
            <w:r>
              <w:rPr>
                <w:sz w:val="20"/>
                <w:szCs w:val="20"/>
              </w:rPr>
              <w:t xml:space="preserve">made </w:t>
            </w:r>
            <w:r w:rsidRPr="00E8139B">
              <w:rPr>
                <w:sz w:val="20"/>
                <w:szCs w:val="20"/>
              </w:rPr>
              <w:t xml:space="preserve">in 2/3 cases, with referral ongoing for the remaining case. </w:t>
            </w:r>
            <w:r>
              <w:rPr>
                <w:sz w:val="20"/>
                <w:szCs w:val="20"/>
              </w:rPr>
              <w:t>Specificity and sensitivity of MSI testing were 100% in this series.</w:t>
            </w:r>
            <w:r w:rsidRPr="00E8139B">
              <w:rPr>
                <w:sz w:val="20"/>
                <w:szCs w:val="20"/>
              </w:rPr>
              <w:t xml:space="preserve"> </w:t>
            </w:r>
          </w:p>
          <w:p w14:paraId="7CAF6342" w14:textId="77777777" w:rsidR="008B1902" w:rsidRPr="00E8139B" w:rsidRDefault="008B1902" w:rsidP="008B1902">
            <w:pPr>
              <w:rPr>
                <w:sz w:val="20"/>
                <w:szCs w:val="20"/>
              </w:rPr>
            </w:pPr>
          </w:p>
        </w:tc>
      </w:tr>
      <w:tr w:rsidR="008B1902" w14:paraId="0363F438" w14:textId="77777777" w:rsidTr="008B1902">
        <w:trPr>
          <w:trHeight w:val="2497"/>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16E8BDE3" w14:textId="77777777" w:rsidR="008B1902" w:rsidRDefault="008B1902" w:rsidP="008B1902">
            <w:pPr>
              <w:spacing w:after="0" w:line="240" w:lineRule="auto"/>
            </w:pPr>
            <w:r>
              <w:rPr>
                <w:b/>
              </w:rPr>
              <w:t>Conclusion</w:t>
            </w:r>
            <w:r>
              <w:t>:</w:t>
            </w:r>
          </w:p>
          <w:p w14:paraId="79C9656F" w14:textId="77777777" w:rsidR="008B1902" w:rsidRPr="00EC2E3B" w:rsidRDefault="008B1902" w:rsidP="008B1902">
            <w:r w:rsidRPr="00611103">
              <w:rPr>
                <w:sz w:val="20"/>
                <w:szCs w:val="20"/>
              </w:rPr>
              <w:t>We have established a local pathway for Lynch syndrome screening of UTUC cases which we now seek to make routine practice across the region. The performance of the urine test would enable tumour mismatch repair deficiency screening to take place without an invasive procedure, allowing the MMR status of a tumour to be available to the multidisciplinary team earlier in a patient’s cancer pathway. Given curative use of immune checkpoint</w:t>
            </w:r>
            <w:r>
              <w:t xml:space="preserve"> </w:t>
            </w:r>
            <w:r w:rsidRPr="00611103">
              <w:rPr>
                <w:sz w:val="20"/>
                <w:szCs w:val="20"/>
              </w:rPr>
              <w:t>inhibitors in rectal cancers (</w:t>
            </w:r>
            <w:proofErr w:type="spellStart"/>
            <w:r w:rsidRPr="00611103">
              <w:rPr>
                <w:sz w:val="20"/>
                <w:szCs w:val="20"/>
              </w:rPr>
              <w:t>Cercek</w:t>
            </w:r>
            <w:proofErr w:type="spellEnd"/>
            <w:r w:rsidRPr="00611103">
              <w:rPr>
                <w:sz w:val="20"/>
                <w:szCs w:val="20"/>
              </w:rPr>
              <w:t xml:space="preserve"> A NEJM 2022</w:t>
            </w:r>
            <w:proofErr w:type="gramStart"/>
            <w:r>
              <w:rPr>
                <w:sz w:val="20"/>
                <w:szCs w:val="20"/>
              </w:rPr>
              <w:t>)</w:t>
            </w:r>
            <w:r w:rsidRPr="00611103">
              <w:rPr>
                <w:sz w:val="20"/>
                <w:szCs w:val="20"/>
              </w:rPr>
              <w:t xml:space="preserve"> </w:t>
            </w:r>
            <w:r>
              <w:rPr>
                <w:sz w:val="20"/>
                <w:szCs w:val="20"/>
              </w:rPr>
              <w:t>)</w:t>
            </w:r>
            <w:r w:rsidRPr="00611103">
              <w:rPr>
                <w:sz w:val="20"/>
                <w:szCs w:val="20"/>
              </w:rPr>
              <w:t>PMID</w:t>
            </w:r>
            <w:proofErr w:type="gramEnd"/>
            <w:r w:rsidRPr="00611103">
              <w:rPr>
                <w:sz w:val="20"/>
                <w:szCs w:val="20"/>
              </w:rPr>
              <w:t>: 35660797), ICI treatment of MSI UTUCs can then be explored.</w:t>
            </w:r>
          </w:p>
          <w:p w14:paraId="3E454777" w14:textId="77777777" w:rsidR="008B1902" w:rsidRDefault="008B1902" w:rsidP="008B1902">
            <w:pPr>
              <w:spacing w:after="0" w:line="240" w:lineRule="auto"/>
              <w:rPr>
                <w:rFonts w:cs="Times New Roman"/>
              </w:rPr>
            </w:pPr>
          </w:p>
          <w:p w14:paraId="02D368B1" w14:textId="77777777" w:rsidR="008B1902" w:rsidRDefault="008B1902" w:rsidP="008B1902">
            <w:pPr>
              <w:spacing w:after="0" w:line="240" w:lineRule="auto"/>
              <w:rPr>
                <w:rFonts w:cs="Times New Roman"/>
              </w:rPr>
            </w:pPr>
          </w:p>
        </w:tc>
      </w:tr>
    </w:tbl>
    <w:p w14:paraId="5DFE8215" w14:textId="63D9DD88" w:rsidR="008B1902" w:rsidRDefault="008B1902">
      <w:pPr>
        <w:rPr>
          <w:rFonts w:ascii="Arial" w:hAnsi="Arial" w:cs="Arial"/>
          <w:b/>
          <w:sz w:val="28"/>
          <w:szCs w:val="28"/>
          <w:u w:val="single"/>
        </w:rPr>
      </w:pPr>
    </w:p>
    <w:p w14:paraId="38148A04" w14:textId="06FF8C9B" w:rsidR="008B1902" w:rsidRDefault="008B1902">
      <w:pPr>
        <w:rPr>
          <w:rFonts w:ascii="Arial" w:hAnsi="Arial" w:cs="Arial"/>
          <w:b/>
          <w:sz w:val="28"/>
          <w:szCs w:val="28"/>
          <w:u w:val="single"/>
        </w:rPr>
      </w:pPr>
    </w:p>
    <w:p w14:paraId="14C1BEEC" w14:textId="67C62871" w:rsidR="008B1902" w:rsidRDefault="008B1902">
      <w:pPr>
        <w:rPr>
          <w:rFonts w:ascii="Arial" w:hAnsi="Arial" w:cs="Arial"/>
          <w:b/>
          <w:sz w:val="28"/>
          <w:szCs w:val="28"/>
          <w:u w:val="single"/>
        </w:rPr>
      </w:pPr>
    </w:p>
    <w:p w14:paraId="380A668B" w14:textId="020CC721" w:rsidR="008B1902" w:rsidRDefault="008B1902">
      <w:pPr>
        <w:rPr>
          <w:rFonts w:ascii="Arial" w:hAnsi="Arial" w:cs="Arial"/>
          <w:b/>
          <w:sz w:val="28"/>
          <w:szCs w:val="28"/>
          <w:u w:val="single"/>
        </w:rPr>
      </w:pPr>
    </w:p>
    <w:p w14:paraId="3F3FEE4B" w14:textId="12A57AA8" w:rsidR="008B1902" w:rsidRDefault="008B1902">
      <w:pPr>
        <w:rPr>
          <w:rFonts w:ascii="Arial" w:hAnsi="Arial" w:cs="Arial"/>
          <w:b/>
          <w:sz w:val="28"/>
          <w:szCs w:val="28"/>
          <w:u w:val="single"/>
        </w:rPr>
      </w:pPr>
    </w:p>
    <w:p w14:paraId="715F4D7A" w14:textId="702C4857" w:rsidR="008B1902" w:rsidRDefault="008B1902">
      <w:pPr>
        <w:rPr>
          <w:rFonts w:ascii="Arial" w:hAnsi="Arial" w:cs="Arial"/>
          <w:b/>
          <w:sz w:val="28"/>
          <w:szCs w:val="28"/>
          <w:u w:val="single"/>
        </w:rPr>
      </w:pPr>
    </w:p>
    <w:p w14:paraId="6DE017BB" w14:textId="48FB50F4" w:rsidR="008B1902" w:rsidRDefault="008B1902">
      <w:pPr>
        <w:rPr>
          <w:rFonts w:ascii="Arial" w:hAnsi="Arial" w:cs="Arial"/>
          <w:b/>
          <w:sz w:val="28"/>
          <w:szCs w:val="28"/>
          <w:u w:val="single"/>
        </w:rPr>
      </w:pPr>
    </w:p>
    <w:p w14:paraId="6C5D6965" w14:textId="56A12FD7" w:rsidR="008B1902" w:rsidRDefault="008B1902">
      <w:pPr>
        <w:rPr>
          <w:rFonts w:ascii="Arial" w:hAnsi="Arial" w:cs="Arial"/>
          <w:b/>
          <w:sz w:val="28"/>
          <w:szCs w:val="28"/>
          <w:u w:val="single"/>
        </w:rPr>
      </w:pPr>
    </w:p>
    <w:p w14:paraId="00B53788" w14:textId="43200983" w:rsidR="008B1902" w:rsidRDefault="008B1902">
      <w:pPr>
        <w:rPr>
          <w:rFonts w:ascii="Arial" w:hAnsi="Arial" w:cs="Arial"/>
          <w:b/>
          <w:sz w:val="28"/>
          <w:szCs w:val="28"/>
          <w:u w:val="single"/>
        </w:rPr>
      </w:pPr>
    </w:p>
    <w:p w14:paraId="3F19CDC5" w14:textId="5BF7C213" w:rsidR="008B1902" w:rsidRDefault="008B1902">
      <w:pPr>
        <w:rPr>
          <w:rFonts w:ascii="Arial" w:hAnsi="Arial" w:cs="Arial"/>
          <w:b/>
          <w:sz w:val="28"/>
          <w:szCs w:val="28"/>
          <w:u w:val="single"/>
        </w:rPr>
      </w:pPr>
    </w:p>
    <w:p w14:paraId="4ADD45FE" w14:textId="25D2FB1D" w:rsidR="008B1902" w:rsidRDefault="008B1902">
      <w:pPr>
        <w:rPr>
          <w:rFonts w:ascii="Arial" w:hAnsi="Arial" w:cs="Arial"/>
          <w:b/>
          <w:sz w:val="28"/>
          <w:szCs w:val="28"/>
          <w:u w:val="single"/>
        </w:rPr>
      </w:pPr>
    </w:p>
    <w:p w14:paraId="29F85935" w14:textId="37831FA5" w:rsidR="008B1902" w:rsidRDefault="008B1902">
      <w:pPr>
        <w:rPr>
          <w:rFonts w:ascii="Arial" w:hAnsi="Arial" w:cs="Arial"/>
          <w:b/>
          <w:sz w:val="28"/>
          <w:szCs w:val="28"/>
          <w:u w:val="single"/>
        </w:rPr>
      </w:pPr>
    </w:p>
    <w:p w14:paraId="3C61CB2B" w14:textId="0EBBFC60" w:rsidR="008B1902" w:rsidRDefault="008B1902">
      <w:pPr>
        <w:rPr>
          <w:rFonts w:ascii="Arial" w:hAnsi="Arial" w:cs="Arial"/>
          <w:b/>
          <w:sz w:val="28"/>
          <w:szCs w:val="28"/>
          <w:u w:val="single"/>
        </w:rPr>
      </w:pPr>
    </w:p>
    <w:p w14:paraId="5CCDBADA" w14:textId="5B861E14" w:rsidR="008B1902" w:rsidRDefault="008B1902">
      <w:pPr>
        <w:rPr>
          <w:rFonts w:ascii="Arial" w:hAnsi="Arial" w:cs="Arial"/>
          <w:b/>
          <w:sz w:val="28"/>
          <w:szCs w:val="28"/>
          <w:u w:val="single"/>
        </w:rPr>
      </w:pPr>
    </w:p>
    <w:p w14:paraId="433CB9C9" w14:textId="0BB029AB" w:rsidR="008B1902" w:rsidRDefault="008B1902">
      <w:pPr>
        <w:rPr>
          <w:rFonts w:ascii="Arial" w:hAnsi="Arial" w:cs="Arial"/>
          <w:b/>
          <w:sz w:val="28"/>
          <w:szCs w:val="28"/>
          <w:u w:val="single"/>
        </w:rPr>
      </w:pPr>
    </w:p>
    <w:p w14:paraId="003B29D7" w14:textId="78C0D0BA" w:rsidR="008B1902" w:rsidRDefault="008B1902">
      <w:pPr>
        <w:rPr>
          <w:rFonts w:ascii="Arial" w:hAnsi="Arial" w:cs="Arial"/>
          <w:b/>
          <w:sz w:val="28"/>
          <w:szCs w:val="28"/>
          <w:u w:val="single"/>
        </w:rPr>
      </w:pPr>
    </w:p>
    <w:p w14:paraId="1814758C" w14:textId="63EE3507" w:rsidR="008B1902" w:rsidRDefault="008B1902">
      <w:pPr>
        <w:rPr>
          <w:rFonts w:ascii="Arial" w:hAnsi="Arial" w:cs="Arial"/>
          <w:b/>
          <w:sz w:val="28"/>
          <w:szCs w:val="28"/>
          <w:u w:val="single"/>
        </w:rPr>
      </w:pPr>
    </w:p>
    <w:p w14:paraId="44753E16" w14:textId="60DBA516" w:rsidR="008B1902" w:rsidRDefault="008B1902">
      <w:pPr>
        <w:rPr>
          <w:rFonts w:ascii="Arial" w:hAnsi="Arial" w:cs="Arial"/>
          <w:b/>
          <w:sz w:val="28"/>
          <w:szCs w:val="28"/>
          <w:u w:val="single"/>
        </w:rPr>
      </w:pPr>
    </w:p>
    <w:p w14:paraId="655927B0" w14:textId="28547DF4" w:rsidR="008B1902" w:rsidRDefault="008B1902">
      <w:pPr>
        <w:rPr>
          <w:rFonts w:ascii="Arial" w:hAnsi="Arial" w:cs="Arial"/>
          <w:b/>
          <w:sz w:val="28"/>
          <w:szCs w:val="28"/>
          <w:u w:val="single"/>
        </w:rPr>
      </w:pPr>
    </w:p>
    <w:p w14:paraId="4C70CC83" w14:textId="1E629363" w:rsidR="008B1902" w:rsidRDefault="008B1902">
      <w:pPr>
        <w:rPr>
          <w:rFonts w:ascii="Arial" w:hAnsi="Arial" w:cs="Arial"/>
          <w:b/>
          <w:sz w:val="28"/>
          <w:szCs w:val="28"/>
          <w:u w:val="single"/>
        </w:rPr>
      </w:pPr>
    </w:p>
    <w:p w14:paraId="46BCEF9E" w14:textId="59415225" w:rsidR="008B1902" w:rsidRDefault="008B1902">
      <w:pPr>
        <w:rPr>
          <w:rFonts w:ascii="Arial" w:hAnsi="Arial" w:cs="Arial"/>
          <w:b/>
          <w:sz w:val="28"/>
          <w:szCs w:val="28"/>
          <w:u w:val="single"/>
        </w:rPr>
      </w:pPr>
    </w:p>
    <w:p w14:paraId="39F935CD" w14:textId="2891C394" w:rsidR="008B1902" w:rsidRDefault="008B1902">
      <w:pPr>
        <w:rPr>
          <w:rFonts w:ascii="Arial" w:hAnsi="Arial" w:cs="Arial"/>
          <w:b/>
          <w:sz w:val="28"/>
          <w:szCs w:val="28"/>
          <w:u w:val="single"/>
        </w:rPr>
      </w:pPr>
    </w:p>
    <w:p w14:paraId="7B08D0E4" w14:textId="77777777" w:rsidR="008B1902" w:rsidRPr="00AF00B7" w:rsidRDefault="008B1902">
      <w:pPr>
        <w:rPr>
          <w:rFonts w:ascii="Arial" w:hAnsi="Arial" w:cs="Arial"/>
          <w:b/>
          <w:sz w:val="28"/>
          <w:szCs w:val="28"/>
          <w:u w:val="single"/>
        </w:rPr>
      </w:pPr>
    </w:p>
    <w:p w14:paraId="0B0A2CC6" w14:textId="77777777" w:rsidR="008B1902" w:rsidRDefault="008B1902">
      <w:pPr>
        <w:rPr>
          <w:rFonts w:ascii="Arial" w:hAnsi="Arial" w:cs="Arial"/>
          <w:b/>
          <w:sz w:val="24"/>
          <w:szCs w:val="24"/>
          <w:u w:val="single"/>
        </w:rPr>
      </w:pPr>
    </w:p>
    <w:p w14:paraId="43084DFE" w14:textId="77777777" w:rsidR="008B1902" w:rsidRDefault="008B1902">
      <w:pPr>
        <w:rPr>
          <w:rFonts w:ascii="Arial" w:hAnsi="Arial" w:cs="Arial"/>
          <w:b/>
          <w:sz w:val="24"/>
          <w:szCs w:val="24"/>
          <w:u w:val="single"/>
        </w:rPr>
      </w:pPr>
    </w:p>
    <w:p w14:paraId="3E033FBA" w14:textId="77777777" w:rsidR="008B1902" w:rsidRDefault="008B1902">
      <w:pPr>
        <w:rPr>
          <w:rFonts w:ascii="Arial" w:hAnsi="Arial" w:cs="Arial"/>
          <w:b/>
          <w:sz w:val="24"/>
          <w:szCs w:val="24"/>
          <w:u w:val="single"/>
        </w:rPr>
      </w:pPr>
    </w:p>
    <w:p w14:paraId="4DFF874B" w14:textId="30A4D16E" w:rsidR="00624259" w:rsidRPr="002E7112" w:rsidRDefault="00757CD4">
      <w:pPr>
        <w:rPr>
          <w:rFonts w:ascii="Arial" w:hAnsi="Arial" w:cs="Arial"/>
          <w:b/>
          <w:bCs/>
          <w:color w:val="242424"/>
          <w:sz w:val="20"/>
          <w:szCs w:val="20"/>
          <w:shd w:val="clear" w:color="auto" w:fill="FFFFFF"/>
        </w:rPr>
      </w:pPr>
      <w:r w:rsidRPr="002E7112">
        <w:rPr>
          <w:rFonts w:ascii="Arial" w:hAnsi="Arial" w:cs="Arial"/>
          <w:b/>
          <w:sz w:val="24"/>
          <w:szCs w:val="24"/>
          <w:u w:val="single"/>
        </w:rPr>
        <w:t>S</w:t>
      </w:r>
      <w:r w:rsidR="00624259" w:rsidRPr="002E7112">
        <w:rPr>
          <w:rFonts w:ascii="Arial" w:hAnsi="Arial" w:cs="Arial"/>
          <w:b/>
          <w:sz w:val="24"/>
          <w:szCs w:val="24"/>
          <w:u w:val="single"/>
        </w:rPr>
        <w:t xml:space="preserve">hort Poster </w:t>
      </w:r>
      <w:proofErr w:type="gramStart"/>
      <w:r w:rsidR="00624259" w:rsidRPr="002E7112">
        <w:rPr>
          <w:rFonts w:ascii="Arial" w:hAnsi="Arial" w:cs="Arial"/>
          <w:b/>
          <w:sz w:val="24"/>
          <w:szCs w:val="24"/>
          <w:u w:val="single"/>
        </w:rPr>
        <w:t xml:space="preserve">Presentations  </w:t>
      </w:r>
      <w:r w:rsidR="00CC7A03" w:rsidRPr="002E7112">
        <w:rPr>
          <w:rFonts w:ascii="Arial" w:hAnsi="Arial" w:cs="Arial"/>
          <w:b/>
          <w:sz w:val="24"/>
          <w:szCs w:val="24"/>
          <w:u w:val="single"/>
        </w:rPr>
        <w:t>(</w:t>
      </w:r>
      <w:proofErr w:type="gramEnd"/>
      <w:r w:rsidR="00C41164" w:rsidRPr="002E7112">
        <w:rPr>
          <w:rFonts w:ascii="Arial" w:hAnsi="Arial" w:cs="Arial"/>
          <w:b/>
          <w:sz w:val="24"/>
          <w:szCs w:val="24"/>
          <w:u w:val="single"/>
        </w:rPr>
        <w:t>15:30-16:45</w:t>
      </w:r>
      <w:r w:rsidR="00CC7A03" w:rsidRPr="002E7112">
        <w:rPr>
          <w:rFonts w:ascii="Arial" w:hAnsi="Arial" w:cs="Arial"/>
          <w:b/>
          <w:sz w:val="24"/>
          <w:szCs w:val="24"/>
          <w:u w:val="single"/>
        </w:rPr>
        <w:t>)</w:t>
      </w:r>
      <w:r w:rsidR="009A3262" w:rsidRPr="002E7112">
        <w:rPr>
          <w:rFonts w:ascii="Arial" w:hAnsi="Arial" w:cs="Arial"/>
          <w:b/>
          <w:sz w:val="24"/>
          <w:szCs w:val="24"/>
          <w:u w:val="single"/>
        </w:rPr>
        <w:t xml:space="preserve">- </w:t>
      </w:r>
      <w:r w:rsidR="009A3262" w:rsidRPr="002E7112">
        <w:rPr>
          <w:rFonts w:ascii="Arial" w:hAnsi="Arial" w:cs="Arial"/>
          <w:b/>
          <w:bCs/>
          <w:color w:val="242424"/>
          <w:sz w:val="20"/>
          <w:szCs w:val="20"/>
          <w:shd w:val="clear" w:color="auto" w:fill="FFFFFF"/>
        </w:rPr>
        <w:t>4 MINS for PRESENTATION</w:t>
      </w:r>
      <w:r w:rsidR="009A3262" w:rsidRPr="002E7112">
        <w:rPr>
          <w:rFonts w:ascii="Arial" w:hAnsi="Arial" w:cs="Arial"/>
          <w:color w:val="242424"/>
          <w:sz w:val="20"/>
          <w:szCs w:val="20"/>
          <w:shd w:val="clear" w:color="auto" w:fill="FFFFFF"/>
        </w:rPr>
        <w:t> and then </w:t>
      </w:r>
      <w:r w:rsidR="009A3262" w:rsidRPr="002E7112">
        <w:rPr>
          <w:rFonts w:ascii="Arial" w:hAnsi="Arial" w:cs="Arial"/>
          <w:b/>
          <w:bCs/>
          <w:color w:val="242424"/>
          <w:sz w:val="20"/>
          <w:szCs w:val="20"/>
          <w:shd w:val="clear" w:color="auto" w:fill="FFFFFF"/>
        </w:rPr>
        <w:t>2-3 MINS for QUESTIONS.</w:t>
      </w:r>
    </w:p>
    <w:p w14:paraId="33B55E0C" w14:textId="77777777" w:rsidR="009A3262" w:rsidRPr="00AF00B7" w:rsidRDefault="009A3262">
      <w:pPr>
        <w:rPr>
          <w:rFonts w:ascii="Arial" w:hAnsi="Arial" w:cs="Arial"/>
          <w:b/>
          <w:sz w:val="24"/>
          <w:szCs w:val="24"/>
          <w:u w:val="single"/>
        </w:rPr>
      </w:pPr>
    </w:p>
    <w:p w14:paraId="5EF61C64" w14:textId="46130F88" w:rsidR="00624259" w:rsidRPr="00AF00B7" w:rsidRDefault="00624259">
      <w:pPr>
        <w:rPr>
          <w:rFonts w:ascii="Arial" w:hAnsi="Arial" w:cs="Arial"/>
          <w:b/>
          <w:sz w:val="24"/>
          <w:szCs w:val="24"/>
        </w:rPr>
      </w:pPr>
      <w:r w:rsidRPr="00AF00B7">
        <w:rPr>
          <w:rFonts w:ascii="Arial" w:hAnsi="Arial" w:cs="Arial"/>
          <w:b/>
          <w:sz w:val="24"/>
          <w:szCs w:val="24"/>
        </w:rPr>
        <w:t>Abstract 1</w:t>
      </w:r>
    </w:p>
    <w:p w14:paraId="7F300D7D" w14:textId="375EF205" w:rsidR="00FD3E6E" w:rsidRDefault="00FD3E6E" w:rsidP="005C080D">
      <w:pPr>
        <w:spacing w:after="0"/>
        <w:rPr>
          <w:b/>
        </w:rPr>
      </w:pP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951E14" w14:paraId="7B225C7D" w14:textId="77777777" w:rsidTr="00951E14">
        <w:tc>
          <w:tcPr>
            <w:tcW w:w="5488" w:type="dxa"/>
            <w:tcBorders>
              <w:top w:val="single" w:sz="4" w:space="0" w:color="auto"/>
              <w:left w:val="single" w:sz="4" w:space="0" w:color="auto"/>
              <w:bottom w:val="single" w:sz="4" w:space="0" w:color="auto"/>
              <w:right w:val="single" w:sz="4" w:space="0" w:color="auto"/>
            </w:tcBorders>
          </w:tcPr>
          <w:p w14:paraId="36B175C6" w14:textId="77777777" w:rsidR="00951E14" w:rsidRDefault="00951E14" w:rsidP="004D412D">
            <w:pPr>
              <w:spacing w:after="0" w:line="240" w:lineRule="auto"/>
            </w:pPr>
            <w:r>
              <w:rPr>
                <w:b/>
              </w:rPr>
              <w:t>Name of Presenter</w:t>
            </w:r>
            <w:r>
              <w:t xml:space="preserve">: </w:t>
            </w:r>
            <w:proofErr w:type="spellStart"/>
            <w:r>
              <w:t>Anshu</w:t>
            </w:r>
            <w:proofErr w:type="spellEnd"/>
            <w:r>
              <w:t xml:space="preserve"> Jha</w:t>
            </w:r>
          </w:p>
          <w:p w14:paraId="51000DA9" w14:textId="77777777" w:rsidR="00951E14" w:rsidRDefault="00951E14" w:rsidP="004D412D">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14:paraId="0A18F958" w14:textId="77777777" w:rsidR="00951E14" w:rsidRDefault="00951E14" w:rsidP="004D412D">
            <w:pPr>
              <w:spacing w:after="0" w:line="240" w:lineRule="auto"/>
              <w:rPr>
                <w:rFonts w:cs="Times New Roman"/>
              </w:rPr>
            </w:pPr>
            <w:r>
              <w:rPr>
                <w:b/>
              </w:rPr>
              <w:t>Training grade/post</w:t>
            </w:r>
            <w:r>
              <w:t>: Urology ST4</w:t>
            </w:r>
          </w:p>
        </w:tc>
      </w:tr>
      <w:tr w:rsidR="00951E14" w14:paraId="0300F0DB"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7043181A" w14:textId="77777777" w:rsidR="00951E14" w:rsidRDefault="00951E14" w:rsidP="004D412D">
            <w:pPr>
              <w:spacing w:after="0" w:line="240" w:lineRule="auto"/>
            </w:pPr>
            <w:r>
              <w:rPr>
                <w:b/>
              </w:rPr>
              <w:t>Institution</w:t>
            </w:r>
            <w:r>
              <w:t>: Freeman Hospital</w:t>
            </w:r>
          </w:p>
          <w:p w14:paraId="59007E7A" w14:textId="77777777" w:rsidR="00951E14" w:rsidRDefault="00951E14" w:rsidP="004D412D">
            <w:pPr>
              <w:spacing w:after="0" w:line="240" w:lineRule="auto"/>
              <w:rPr>
                <w:rFonts w:cs="Times New Roman"/>
              </w:rPr>
            </w:pPr>
          </w:p>
        </w:tc>
      </w:tr>
      <w:tr w:rsidR="00951E14" w14:paraId="58701562"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5624AF90" w14:textId="77777777" w:rsidR="00951E14" w:rsidRPr="00480301" w:rsidRDefault="00951E14" w:rsidP="004D412D">
            <w:pPr>
              <w:spacing w:after="0" w:line="240" w:lineRule="auto"/>
            </w:pPr>
            <w:r>
              <w:rPr>
                <w:b/>
              </w:rPr>
              <w:t>Title of Presentation</w:t>
            </w:r>
            <w:r>
              <w:t xml:space="preserve">: </w:t>
            </w:r>
            <w:r w:rsidRPr="00480301">
              <w:rPr>
                <w:b/>
                <w:bCs/>
              </w:rPr>
              <w:t>Audit of Emergency Admission with Haematuria</w:t>
            </w:r>
            <w:r>
              <w:t xml:space="preserve"> </w:t>
            </w:r>
          </w:p>
        </w:tc>
      </w:tr>
      <w:tr w:rsidR="00951E14" w14:paraId="11564C8C" w14:textId="77777777" w:rsidTr="00951E14">
        <w:trPr>
          <w:trHeight w:val="692"/>
        </w:trPr>
        <w:tc>
          <w:tcPr>
            <w:tcW w:w="9016" w:type="dxa"/>
            <w:gridSpan w:val="2"/>
            <w:tcBorders>
              <w:top w:val="single" w:sz="4" w:space="0" w:color="auto"/>
              <w:left w:val="single" w:sz="4" w:space="0" w:color="auto"/>
              <w:bottom w:val="single" w:sz="4" w:space="0" w:color="auto"/>
              <w:right w:val="single" w:sz="4" w:space="0" w:color="auto"/>
            </w:tcBorders>
          </w:tcPr>
          <w:p w14:paraId="5EF13AEC" w14:textId="77777777" w:rsidR="00951E14" w:rsidRDefault="00951E14" w:rsidP="004D412D">
            <w:pPr>
              <w:spacing w:after="0" w:line="240" w:lineRule="auto"/>
            </w:pPr>
            <w:r>
              <w:rPr>
                <w:b/>
              </w:rPr>
              <w:t>Authors</w:t>
            </w:r>
            <w:r>
              <w:t xml:space="preserve">: </w:t>
            </w:r>
          </w:p>
          <w:p w14:paraId="676E6645" w14:textId="77777777" w:rsidR="00951E14" w:rsidRPr="00480301" w:rsidRDefault="00951E14" w:rsidP="004D412D">
            <w:pPr>
              <w:spacing w:after="0" w:line="240" w:lineRule="auto"/>
            </w:pPr>
            <w:proofErr w:type="spellStart"/>
            <w:r>
              <w:rPr>
                <w:lang w:val="en-US"/>
              </w:rPr>
              <w:t>Anshu</w:t>
            </w:r>
            <w:proofErr w:type="spellEnd"/>
            <w:r>
              <w:rPr>
                <w:lang w:val="en-US"/>
              </w:rPr>
              <w:t xml:space="preserve"> Jha, Robert Geraghty, Nina </w:t>
            </w:r>
            <w:proofErr w:type="spellStart"/>
            <w:r>
              <w:rPr>
                <w:lang w:val="en-US"/>
              </w:rPr>
              <w:t>LLewellyn</w:t>
            </w:r>
            <w:proofErr w:type="spellEnd"/>
            <w:r>
              <w:rPr>
                <w:lang w:val="en-US"/>
              </w:rPr>
              <w:t>, Lucy Carter, Dan Conaway, Victoria Lavin</w:t>
            </w:r>
          </w:p>
        </w:tc>
      </w:tr>
      <w:tr w:rsidR="00951E14" w14:paraId="1F7ABB0A"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36C3446B" w14:textId="77777777" w:rsidR="00951E14" w:rsidRDefault="00951E14" w:rsidP="004D412D">
            <w:pPr>
              <w:spacing w:after="0" w:line="240" w:lineRule="auto"/>
            </w:pPr>
            <w:r>
              <w:rPr>
                <w:b/>
              </w:rPr>
              <w:t>Aims</w:t>
            </w:r>
            <w:r>
              <w:t>:</w:t>
            </w:r>
          </w:p>
          <w:p w14:paraId="7C248121" w14:textId="77777777" w:rsidR="00951E14" w:rsidRPr="00480301" w:rsidRDefault="00951E14" w:rsidP="004D412D">
            <w:pPr>
              <w:spacing w:after="0" w:line="240" w:lineRule="auto"/>
            </w:pPr>
            <w:r w:rsidRPr="00480301">
              <w:rPr>
                <w:lang w:val="en-US"/>
              </w:rPr>
              <w:t xml:space="preserve">To re-audit emergency admissions with hematuria following a previous audit (2014) </w:t>
            </w:r>
            <w:proofErr w:type="gramStart"/>
            <w:r w:rsidRPr="00480301">
              <w:rPr>
                <w:lang w:val="en-US"/>
              </w:rPr>
              <w:t>in light of</w:t>
            </w:r>
            <w:proofErr w:type="gramEnd"/>
            <w:r w:rsidRPr="00480301">
              <w:rPr>
                <w:lang w:val="en-US"/>
              </w:rPr>
              <w:t xml:space="preserve"> increasing numbers of patients on direct oral anticoagulants (DOAC).</w:t>
            </w:r>
          </w:p>
        </w:tc>
      </w:tr>
      <w:tr w:rsidR="00951E14" w14:paraId="5C311CCB"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42661F69" w14:textId="77777777" w:rsidR="00951E14" w:rsidRDefault="00951E14" w:rsidP="004D412D">
            <w:pPr>
              <w:spacing w:after="0" w:line="240" w:lineRule="auto"/>
            </w:pPr>
            <w:r>
              <w:rPr>
                <w:b/>
              </w:rPr>
              <w:t>Methods</w:t>
            </w:r>
            <w:r>
              <w:t>:</w:t>
            </w:r>
          </w:p>
          <w:p w14:paraId="62CFE27F" w14:textId="77777777" w:rsidR="00951E14" w:rsidRPr="00480301" w:rsidRDefault="00951E14" w:rsidP="004D412D">
            <w:pPr>
              <w:pStyle w:val="NoSpacing"/>
              <w:rPr>
                <w:sz w:val="21"/>
                <w:szCs w:val="21"/>
              </w:rPr>
            </w:pPr>
            <w:r w:rsidRPr="00480301">
              <w:rPr>
                <w:sz w:val="21"/>
                <w:szCs w:val="21"/>
              </w:rPr>
              <w:t xml:space="preserve">We reviewed emergency admissions with haematuria. The original </w:t>
            </w:r>
            <w:proofErr w:type="gramStart"/>
            <w:r w:rsidRPr="00480301">
              <w:rPr>
                <w:sz w:val="21"/>
                <w:szCs w:val="21"/>
              </w:rPr>
              <w:t>audit(</w:t>
            </w:r>
            <w:proofErr w:type="gramEnd"/>
            <w:r w:rsidRPr="00480301">
              <w:rPr>
                <w:sz w:val="21"/>
                <w:szCs w:val="21"/>
              </w:rPr>
              <w:t>1) lasted 9 months, January–October 2014. The re-audit lasted 11 months, June 2021–May 2022. Both audits noted admission reason, anticoagulant indication, length of stay, and treatments. The re-audit included 30-day outcomes. Both dichotomous and continuous data were analysed in R using chi-square and Mann-Whitney U tests.</w:t>
            </w:r>
          </w:p>
        </w:tc>
      </w:tr>
      <w:tr w:rsidR="00951E14" w14:paraId="5D241791"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632A7ED8" w14:textId="77777777" w:rsidR="00951E14" w:rsidRDefault="00951E14" w:rsidP="004D412D">
            <w:pPr>
              <w:spacing w:after="0" w:line="240" w:lineRule="auto"/>
            </w:pPr>
            <w:r>
              <w:rPr>
                <w:b/>
              </w:rPr>
              <w:t>Results</w:t>
            </w:r>
            <w:r>
              <w:t>:</w:t>
            </w:r>
          </w:p>
          <w:p w14:paraId="70512245" w14:textId="77777777" w:rsidR="00951E14" w:rsidRPr="00480301" w:rsidRDefault="00951E14" w:rsidP="004D412D">
            <w:pPr>
              <w:pStyle w:val="NoSpacing"/>
              <w:rPr>
                <w:sz w:val="21"/>
                <w:szCs w:val="21"/>
              </w:rPr>
            </w:pPr>
            <w:r w:rsidRPr="00480301">
              <w:rPr>
                <w:sz w:val="21"/>
                <w:szCs w:val="21"/>
              </w:rPr>
              <w:t xml:space="preserve">138 patients were included in Audit </w:t>
            </w:r>
            <w:proofErr w:type="gramStart"/>
            <w:r w:rsidRPr="00480301">
              <w:rPr>
                <w:sz w:val="21"/>
                <w:szCs w:val="21"/>
              </w:rPr>
              <w:t>1 ,</w:t>
            </w:r>
            <w:proofErr w:type="gramEnd"/>
            <w:r w:rsidRPr="00480301">
              <w:rPr>
                <w:sz w:val="21"/>
                <w:szCs w:val="21"/>
              </w:rPr>
              <w:t xml:space="preserve"> while the Re-audit comprised 112. Anticoagulation rates were similar between groups (48.2% vs 52.1%, p=0.70). Audit 1 demonstrated median stay of 3 days; the re-audit showed considerably longer - 6 days (p&lt;0.001).</w:t>
            </w:r>
          </w:p>
          <w:p w14:paraId="739CB04B" w14:textId="77777777" w:rsidR="00951E14" w:rsidRPr="00480301" w:rsidRDefault="00951E14" w:rsidP="004D412D">
            <w:pPr>
              <w:pStyle w:val="NoSpacing"/>
              <w:rPr>
                <w:sz w:val="16"/>
                <w:szCs w:val="16"/>
              </w:rPr>
            </w:pPr>
            <w:r w:rsidRPr="00480301">
              <w:rPr>
                <w:sz w:val="21"/>
                <w:szCs w:val="21"/>
              </w:rPr>
              <w:t>Similar proportions required surgery (9.8% vs 9.3%, p=0.99). The combined datasets on anticoagulation showed no significant difference in theatre intervention rates between DOAC and non-DOAC patients (11% vs 10%, p=0.72). The re-audit data showed 27 adverse event rates (27%), including 18 haematuria readmissions and 9 deaths, within 30 days. Anticoagulated and non-anticoagulated groups had similar rates (31% vs 27%, p=0.79). In the sub analysis comparing DOACs to other anticoagulants, adverse event rates were similar (28% vs 33%, p=0.92).</w:t>
            </w:r>
          </w:p>
        </w:tc>
      </w:tr>
      <w:tr w:rsidR="00951E14" w14:paraId="7067E587"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4CA90C49" w14:textId="77777777" w:rsidR="00951E14" w:rsidRDefault="00951E14" w:rsidP="004D412D">
            <w:pPr>
              <w:spacing w:after="0" w:line="240" w:lineRule="auto"/>
            </w:pPr>
            <w:r>
              <w:rPr>
                <w:b/>
              </w:rPr>
              <w:t>Conclusion</w:t>
            </w:r>
            <w:r>
              <w:t>:</w:t>
            </w:r>
          </w:p>
          <w:p w14:paraId="0C493AF8" w14:textId="77777777" w:rsidR="00951E14" w:rsidRPr="00480301" w:rsidRDefault="00951E14" w:rsidP="004D412D">
            <w:pPr>
              <w:spacing w:after="0" w:line="240" w:lineRule="auto"/>
            </w:pPr>
            <w:r w:rsidRPr="00480301">
              <w:rPr>
                <w:lang w:val="en-US"/>
              </w:rPr>
              <w:t xml:space="preserve">There is no difference in intervention rates in those on DOACs vs other anticoagulants. </w:t>
            </w:r>
            <w:r w:rsidRPr="00480301">
              <w:t>Inpatient stays for antiplatelet therapy patients have increased significantly across audits. Those requiring emergency admission with haematuria had a clinically significant 30-day adverse event rate in the re-audit data only, regardless of anticoagulation or DOAC use.</w:t>
            </w:r>
          </w:p>
        </w:tc>
      </w:tr>
    </w:tbl>
    <w:p w14:paraId="26847D93" w14:textId="77777777" w:rsidR="009A3262" w:rsidRDefault="009A3262" w:rsidP="005C080D">
      <w:pPr>
        <w:spacing w:after="0"/>
        <w:rPr>
          <w:b/>
        </w:rPr>
      </w:pPr>
    </w:p>
    <w:p w14:paraId="71695861" w14:textId="1DB0A973" w:rsidR="009A3262" w:rsidRDefault="009A3262" w:rsidP="005C080D">
      <w:pPr>
        <w:spacing w:after="0"/>
        <w:rPr>
          <w:b/>
        </w:rPr>
      </w:pPr>
    </w:p>
    <w:p w14:paraId="1D616351" w14:textId="3C2BD94B" w:rsidR="008B1902" w:rsidRDefault="008B1902" w:rsidP="005C080D">
      <w:pPr>
        <w:spacing w:after="0"/>
        <w:rPr>
          <w:b/>
        </w:rPr>
      </w:pPr>
    </w:p>
    <w:p w14:paraId="793BD4EE" w14:textId="0764A1A1" w:rsidR="008B1902" w:rsidRDefault="008B1902" w:rsidP="005C080D">
      <w:pPr>
        <w:spacing w:after="0"/>
        <w:rPr>
          <w:b/>
        </w:rPr>
      </w:pPr>
    </w:p>
    <w:p w14:paraId="3A995802" w14:textId="27D2193F" w:rsidR="008B1902" w:rsidRDefault="008B1902" w:rsidP="005C080D">
      <w:pPr>
        <w:spacing w:after="0"/>
        <w:rPr>
          <w:b/>
        </w:rPr>
      </w:pPr>
    </w:p>
    <w:p w14:paraId="421F5B88" w14:textId="48073B7C" w:rsidR="008B1902" w:rsidRDefault="008B1902" w:rsidP="005C080D">
      <w:pPr>
        <w:spacing w:after="0"/>
        <w:rPr>
          <w:b/>
        </w:rPr>
      </w:pPr>
    </w:p>
    <w:p w14:paraId="5881DE09" w14:textId="092FDEE2" w:rsidR="008B1902" w:rsidRDefault="008B1902" w:rsidP="005C080D">
      <w:pPr>
        <w:spacing w:after="0"/>
        <w:rPr>
          <w:b/>
        </w:rPr>
      </w:pPr>
    </w:p>
    <w:p w14:paraId="0C862EE4" w14:textId="12C18971" w:rsidR="008B1902" w:rsidRDefault="008B1902" w:rsidP="005C080D">
      <w:pPr>
        <w:spacing w:after="0"/>
        <w:rPr>
          <w:b/>
        </w:rPr>
      </w:pPr>
    </w:p>
    <w:p w14:paraId="25C278C3" w14:textId="77777777" w:rsidR="008B1902" w:rsidRDefault="008B1902" w:rsidP="005C080D">
      <w:pPr>
        <w:spacing w:after="0"/>
        <w:rPr>
          <w:b/>
        </w:rPr>
      </w:pPr>
    </w:p>
    <w:p w14:paraId="04FFF3C5" w14:textId="77777777" w:rsidR="009A3262" w:rsidRDefault="009A3262" w:rsidP="005C080D">
      <w:pPr>
        <w:spacing w:after="0"/>
        <w:rPr>
          <w:b/>
        </w:rPr>
      </w:pPr>
    </w:p>
    <w:p w14:paraId="6C9A0A4A" w14:textId="77777777" w:rsidR="009A3262" w:rsidRDefault="009A3262" w:rsidP="005C080D">
      <w:pPr>
        <w:spacing w:after="0"/>
        <w:rPr>
          <w:b/>
        </w:rPr>
      </w:pPr>
    </w:p>
    <w:p w14:paraId="10FE157B" w14:textId="7E8ACB9F" w:rsidR="00AF00B7" w:rsidRPr="00AF00B7" w:rsidRDefault="00AF00B7" w:rsidP="00AF00B7">
      <w:pPr>
        <w:spacing w:after="0"/>
        <w:rPr>
          <w:rFonts w:ascii="Arial" w:hAnsi="Arial" w:cs="Arial"/>
          <w:b/>
          <w:sz w:val="24"/>
          <w:szCs w:val="24"/>
        </w:rPr>
      </w:pPr>
      <w:r w:rsidRPr="00AF00B7">
        <w:rPr>
          <w:rFonts w:ascii="Arial" w:hAnsi="Arial" w:cs="Arial"/>
          <w:b/>
          <w:sz w:val="24"/>
          <w:szCs w:val="24"/>
        </w:rPr>
        <w:t>Abstract 2</w:t>
      </w:r>
    </w:p>
    <w:p w14:paraId="4A8C32AD" w14:textId="77777777" w:rsidR="00C41164" w:rsidRPr="00B1672D" w:rsidRDefault="00C41164" w:rsidP="005C080D">
      <w:pPr>
        <w:spacing w:after="0"/>
        <w:rPr>
          <w:b/>
          <w:sz w:val="28"/>
          <w:szCs w:val="28"/>
        </w:rPr>
      </w:pP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951E14" w14:paraId="533FAF42" w14:textId="77777777" w:rsidTr="00951E14">
        <w:tc>
          <w:tcPr>
            <w:tcW w:w="5488" w:type="dxa"/>
            <w:tcBorders>
              <w:top w:val="single" w:sz="4" w:space="0" w:color="auto"/>
              <w:left w:val="single" w:sz="4" w:space="0" w:color="auto"/>
              <w:bottom w:val="single" w:sz="4" w:space="0" w:color="auto"/>
              <w:right w:val="single" w:sz="4" w:space="0" w:color="auto"/>
            </w:tcBorders>
          </w:tcPr>
          <w:p w14:paraId="50443CA1" w14:textId="77777777" w:rsidR="00951E14" w:rsidRDefault="00951E14" w:rsidP="004D412D">
            <w:pPr>
              <w:spacing w:after="0" w:line="240" w:lineRule="auto"/>
            </w:pPr>
            <w:r>
              <w:rPr>
                <w:b/>
              </w:rPr>
              <w:t>Name of Presenter</w:t>
            </w:r>
            <w:r>
              <w:t>: Dayan Jacob</w:t>
            </w:r>
          </w:p>
          <w:p w14:paraId="64D6BC6F" w14:textId="77777777" w:rsidR="00951E14" w:rsidRDefault="00951E14" w:rsidP="004D412D">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14:paraId="1D07E743" w14:textId="77777777" w:rsidR="00951E14" w:rsidRDefault="00951E14" w:rsidP="004D412D">
            <w:pPr>
              <w:spacing w:after="0" w:line="240" w:lineRule="auto"/>
              <w:rPr>
                <w:rFonts w:cs="Times New Roman"/>
              </w:rPr>
            </w:pPr>
            <w:r>
              <w:rPr>
                <w:b/>
              </w:rPr>
              <w:t>Training grade/post</w:t>
            </w:r>
            <w:r>
              <w:t>: Urology Teaching Fellow</w:t>
            </w:r>
          </w:p>
        </w:tc>
      </w:tr>
      <w:tr w:rsidR="00951E14" w14:paraId="3E34C11F"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4D33607A" w14:textId="77777777" w:rsidR="00951E14" w:rsidRDefault="00951E14" w:rsidP="004D412D">
            <w:pPr>
              <w:spacing w:after="0" w:line="240" w:lineRule="auto"/>
            </w:pPr>
            <w:r>
              <w:rPr>
                <w:b/>
              </w:rPr>
              <w:t>Institution</w:t>
            </w:r>
            <w:r>
              <w:t>: South Tees Hospitals NHS Foundation Trust</w:t>
            </w:r>
          </w:p>
          <w:p w14:paraId="4708F892" w14:textId="77777777" w:rsidR="00951E14" w:rsidRDefault="00951E14" w:rsidP="004D412D">
            <w:pPr>
              <w:spacing w:after="0" w:line="240" w:lineRule="auto"/>
              <w:rPr>
                <w:rFonts w:cs="Times New Roman"/>
              </w:rPr>
            </w:pPr>
          </w:p>
        </w:tc>
      </w:tr>
      <w:tr w:rsidR="00951E14" w14:paraId="1FC1E1F1"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08E19210" w14:textId="77777777" w:rsidR="00951E14" w:rsidRDefault="00951E14" w:rsidP="004D412D">
            <w:pPr>
              <w:spacing w:after="0" w:line="240" w:lineRule="auto"/>
            </w:pPr>
            <w:r>
              <w:rPr>
                <w:b/>
              </w:rPr>
              <w:t>Title of Presentation</w:t>
            </w:r>
            <w:r>
              <w:t xml:space="preserve">: </w:t>
            </w:r>
            <w:r w:rsidRPr="00345107">
              <w:rPr>
                <w:b/>
                <w:bCs/>
              </w:rPr>
              <w:t>Intracorporal Botulinum Toxin as a Minimally Invasive Option for Premature Ejaculation: A Review of Randomised Trials</w:t>
            </w:r>
          </w:p>
          <w:p w14:paraId="50AD3472" w14:textId="77777777" w:rsidR="00951E14" w:rsidRDefault="00951E14" w:rsidP="004D412D">
            <w:pPr>
              <w:spacing w:after="0" w:line="240" w:lineRule="auto"/>
              <w:rPr>
                <w:rFonts w:cs="Times New Roman"/>
              </w:rPr>
            </w:pPr>
          </w:p>
        </w:tc>
      </w:tr>
      <w:tr w:rsidR="00951E14" w14:paraId="13018BB1"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6C059CEF" w14:textId="77777777" w:rsidR="00951E14" w:rsidRPr="00345107" w:rsidRDefault="00951E14" w:rsidP="004D412D">
            <w:pPr>
              <w:spacing w:after="0" w:line="240" w:lineRule="auto"/>
              <w:rPr>
                <w:lang w:val="en"/>
              </w:rPr>
            </w:pPr>
            <w:r>
              <w:rPr>
                <w:b/>
              </w:rPr>
              <w:t>Authors</w:t>
            </w:r>
            <w:r>
              <w:t xml:space="preserve">: </w:t>
            </w:r>
            <w:r w:rsidRPr="00345107">
              <w:rPr>
                <w:lang w:val="en"/>
              </w:rPr>
              <w:t>D Jacob, M Mubarak, Q Isa, V Modgil, I Pearce</w:t>
            </w:r>
          </w:p>
          <w:p w14:paraId="2E627A7B" w14:textId="77777777" w:rsidR="00951E14" w:rsidRDefault="00951E14" w:rsidP="004D412D">
            <w:pPr>
              <w:spacing w:after="0" w:line="240" w:lineRule="auto"/>
              <w:rPr>
                <w:rFonts w:cs="Times New Roman"/>
              </w:rPr>
            </w:pPr>
          </w:p>
        </w:tc>
      </w:tr>
      <w:tr w:rsidR="00951E14" w14:paraId="0D59E813"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3D58B1F5" w14:textId="77777777" w:rsidR="00951E14" w:rsidRDefault="00951E14" w:rsidP="004D412D">
            <w:pPr>
              <w:spacing w:after="0" w:line="240" w:lineRule="auto"/>
            </w:pPr>
            <w:r>
              <w:rPr>
                <w:b/>
              </w:rPr>
              <w:t>Aims</w:t>
            </w:r>
            <w:r>
              <w:t>:</w:t>
            </w:r>
            <w:r w:rsidRPr="00345107">
              <w:t xml:space="preserve"> The ejaculation reflex consists of emulsion and expulsion. The latter occurs via rhythmic contractions of the pelvic floor muscles and penile corporal muscles. This is a review that investigates high-quality data from randomised trials on Botulinum Toxin-A’s efficacy in prolonging intravaginal ejaculatory latency time (IELT) for patients with lifelong PE</w:t>
            </w:r>
          </w:p>
          <w:p w14:paraId="0EAFE7BD" w14:textId="77777777" w:rsidR="00951E14" w:rsidRDefault="00951E14" w:rsidP="004D412D">
            <w:pPr>
              <w:spacing w:after="0" w:line="240" w:lineRule="auto"/>
              <w:rPr>
                <w:rFonts w:cs="Times New Roman"/>
              </w:rPr>
            </w:pPr>
          </w:p>
        </w:tc>
      </w:tr>
      <w:tr w:rsidR="00951E14" w14:paraId="321960C0"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4D28CD09" w14:textId="77777777" w:rsidR="00951E14" w:rsidRDefault="00951E14" w:rsidP="004D412D">
            <w:pPr>
              <w:spacing w:after="0" w:line="240" w:lineRule="auto"/>
            </w:pPr>
            <w:r>
              <w:rPr>
                <w:b/>
              </w:rPr>
              <w:t>Methods</w:t>
            </w:r>
            <w:r>
              <w:t xml:space="preserve">: </w:t>
            </w:r>
            <w:r w:rsidRPr="00345107">
              <w:rPr>
                <w:lang w:val="en"/>
              </w:rPr>
              <w:t xml:space="preserve">This is a systematic review done in adherence to PRISMA guidelines. Only </w:t>
            </w:r>
            <w:proofErr w:type="spellStart"/>
            <w:r w:rsidRPr="00345107">
              <w:rPr>
                <w:lang w:val="en"/>
              </w:rPr>
              <w:t>andomised</w:t>
            </w:r>
            <w:proofErr w:type="spellEnd"/>
            <w:r w:rsidRPr="00345107">
              <w:rPr>
                <w:lang w:val="en"/>
              </w:rPr>
              <w:t xml:space="preserve"> trials were eligible for review. The main outcome of interest was IELT after botulinum toxin-A injection. Other extracted variables included follow up period and relevant patient questionnaires such as PEP &amp; PEDT. Descriptive statistics and meta-analysis were done using Microsoft Excel, and R.</w:t>
            </w:r>
          </w:p>
          <w:p w14:paraId="314EAB96" w14:textId="77777777" w:rsidR="00951E14" w:rsidRDefault="00951E14" w:rsidP="004D412D">
            <w:pPr>
              <w:spacing w:after="0" w:line="240" w:lineRule="auto"/>
              <w:rPr>
                <w:rFonts w:cs="Times New Roman"/>
              </w:rPr>
            </w:pPr>
          </w:p>
        </w:tc>
      </w:tr>
      <w:tr w:rsidR="00951E14" w14:paraId="0BE831FA"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12A175A0" w14:textId="77777777" w:rsidR="00951E14" w:rsidRDefault="00951E14" w:rsidP="004D412D">
            <w:pPr>
              <w:spacing w:after="0" w:line="240" w:lineRule="auto"/>
            </w:pPr>
            <w:r>
              <w:rPr>
                <w:b/>
              </w:rPr>
              <w:t>Results</w:t>
            </w:r>
            <w:r>
              <w:t xml:space="preserve">: </w:t>
            </w:r>
            <w:r w:rsidRPr="00345107">
              <w:rPr>
                <w:lang w:val="en"/>
              </w:rPr>
              <w:t xml:space="preserve">Overall, six </w:t>
            </w:r>
            <w:proofErr w:type="spellStart"/>
            <w:r w:rsidRPr="00345107">
              <w:rPr>
                <w:lang w:val="en"/>
              </w:rPr>
              <w:t>randomised</w:t>
            </w:r>
            <w:proofErr w:type="spellEnd"/>
            <w:r w:rsidRPr="00345107">
              <w:rPr>
                <w:lang w:val="en"/>
              </w:rPr>
              <w:t xml:space="preserve"> trials (5 RCTs, 1 prospective trial) were eligible for review with four included comprising 144 patients. All trials demonstrated improvements in IELT, ranging from 1.7-96.6 seconds at one month follow up. Only one trial reported no improvement in IELT. Another prospective trial demonstrated varying, albeit positive, effects with injections in different parts of the penis. (p &lt; 0.05) In eligible trials, a meta-analysis of IELT changes demonstrated improvements in IELT by 39.6s (p &gt; 0.05), 11.5s (p &gt; 0.05), and 2.4s (p &gt; 0.05) at one, three, and six months, respectively.</w:t>
            </w:r>
          </w:p>
          <w:p w14:paraId="572A46BA" w14:textId="77777777" w:rsidR="00951E14" w:rsidRDefault="00951E14" w:rsidP="004D412D">
            <w:pPr>
              <w:spacing w:after="0" w:line="240" w:lineRule="auto"/>
              <w:rPr>
                <w:rFonts w:cs="Times New Roman"/>
              </w:rPr>
            </w:pPr>
          </w:p>
        </w:tc>
      </w:tr>
      <w:tr w:rsidR="00951E14" w14:paraId="2913353E"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65D20694" w14:textId="77777777" w:rsidR="00951E14" w:rsidRDefault="00951E14" w:rsidP="004D412D">
            <w:pPr>
              <w:spacing w:after="0" w:line="240" w:lineRule="auto"/>
            </w:pPr>
            <w:r>
              <w:rPr>
                <w:b/>
              </w:rPr>
              <w:t>Conclusion</w:t>
            </w:r>
            <w:r>
              <w:t xml:space="preserve">: </w:t>
            </w:r>
            <w:r w:rsidRPr="00345107">
              <w:rPr>
                <w:lang w:val="en"/>
              </w:rPr>
              <w:t>The evidence on botulinum toxin-A’s impact on IELT is inconclusive. Technical variations were noted in the included trials. Prospective studies with a standard approach to Botulinum toxin-A injections are required to fully clarify the conflicting outcomes.</w:t>
            </w:r>
          </w:p>
          <w:p w14:paraId="455355E6" w14:textId="77777777" w:rsidR="00951E14" w:rsidRDefault="00951E14" w:rsidP="004D412D">
            <w:pPr>
              <w:spacing w:after="0" w:line="240" w:lineRule="auto"/>
              <w:rPr>
                <w:rFonts w:cs="Times New Roman"/>
              </w:rPr>
            </w:pPr>
          </w:p>
        </w:tc>
      </w:tr>
    </w:tbl>
    <w:p w14:paraId="41F90121" w14:textId="77777777" w:rsidR="00B1672D" w:rsidRDefault="00B1672D" w:rsidP="005C080D">
      <w:pPr>
        <w:spacing w:after="0"/>
        <w:rPr>
          <w:b/>
        </w:rPr>
      </w:pPr>
    </w:p>
    <w:p w14:paraId="16A264F8" w14:textId="77777777" w:rsidR="00FD3E6E" w:rsidRPr="00FD3E6E" w:rsidRDefault="00FD3E6E" w:rsidP="005C080D">
      <w:pPr>
        <w:spacing w:after="0"/>
        <w:rPr>
          <w:b/>
        </w:rPr>
      </w:pPr>
    </w:p>
    <w:p w14:paraId="5CEB8550" w14:textId="309B33A8" w:rsidR="00815056" w:rsidRDefault="00815056">
      <w:pPr>
        <w:spacing w:after="160" w:line="259" w:lineRule="auto"/>
        <w:rPr>
          <w:b/>
        </w:rPr>
      </w:pPr>
      <w:r>
        <w:rPr>
          <w:b/>
        </w:rPr>
        <w:br w:type="page"/>
      </w:r>
    </w:p>
    <w:p w14:paraId="4D198601" w14:textId="77777777" w:rsidR="00FD3E6E" w:rsidRPr="00FD3E6E" w:rsidRDefault="00FD3E6E" w:rsidP="005C080D">
      <w:pPr>
        <w:spacing w:after="0" w:line="240" w:lineRule="auto"/>
        <w:rPr>
          <w:b/>
        </w:rPr>
      </w:pPr>
    </w:p>
    <w:p w14:paraId="29EBF5CB" w14:textId="6D34E378" w:rsidR="00624259" w:rsidRPr="00AF00B7" w:rsidRDefault="00624259" w:rsidP="005C080D">
      <w:pPr>
        <w:spacing w:line="240" w:lineRule="auto"/>
        <w:rPr>
          <w:rFonts w:ascii="Arial" w:hAnsi="Arial" w:cs="Arial"/>
          <w:b/>
          <w:sz w:val="24"/>
          <w:szCs w:val="24"/>
        </w:rPr>
      </w:pPr>
      <w:r w:rsidRPr="00AF00B7">
        <w:rPr>
          <w:rFonts w:ascii="Arial" w:hAnsi="Arial" w:cs="Arial"/>
          <w:b/>
          <w:sz w:val="24"/>
          <w:szCs w:val="24"/>
        </w:rPr>
        <w:t>Abstract 3</w:t>
      </w:r>
    </w:p>
    <w:tbl>
      <w:tblPr>
        <w:tblStyle w:val="TableGrid"/>
        <w:tblpPr w:leftFromText="180" w:rightFromText="180" w:vertAnchor="text" w:horzAnchor="margin" w:tblpXSpec="center" w:tblpY="342"/>
        <w:tblW w:w="10207" w:type="dxa"/>
        <w:tblLayout w:type="fixed"/>
        <w:tblLook w:val="06A0" w:firstRow="1" w:lastRow="0" w:firstColumn="1" w:lastColumn="0" w:noHBand="1" w:noVBand="1"/>
      </w:tblPr>
      <w:tblGrid>
        <w:gridCol w:w="6641"/>
        <w:gridCol w:w="3566"/>
      </w:tblGrid>
      <w:tr w:rsidR="00951E14" w14:paraId="5F31CD09" w14:textId="77777777" w:rsidTr="00951E14">
        <w:trPr>
          <w:trHeight w:val="300"/>
        </w:trPr>
        <w:tc>
          <w:tcPr>
            <w:tcW w:w="6641" w:type="dxa"/>
          </w:tcPr>
          <w:p w14:paraId="79C7E843" w14:textId="77777777" w:rsidR="00951E14" w:rsidRDefault="00951E14" w:rsidP="00951E14">
            <w:pPr>
              <w:rPr>
                <w:rFonts w:ascii="Calibri" w:eastAsia="Calibri" w:hAnsi="Calibri" w:cs="Calibri"/>
                <w:b/>
                <w:bCs/>
              </w:rPr>
            </w:pPr>
            <w:r w:rsidRPr="5A480574">
              <w:rPr>
                <w:rFonts w:ascii="Calibri" w:eastAsia="Calibri" w:hAnsi="Calibri" w:cs="Calibri"/>
                <w:b/>
                <w:bCs/>
              </w:rPr>
              <w:t>Name of Presenter:</w:t>
            </w:r>
          </w:p>
          <w:p w14:paraId="05265BC3" w14:textId="77777777" w:rsidR="00951E14" w:rsidRDefault="00951E14" w:rsidP="00951E14">
            <w:pPr>
              <w:rPr>
                <w:rFonts w:ascii="Calibri" w:eastAsia="Calibri" w:hAnsi="Calibri" w:cs="Calibri"/>
              </w:rPr>
            </w:pPr>
            <w:r w:rsidRPr="5A480574">
              <w:rPr>
                <w:rFonts w:ascii="Calibri" w:eastAsia="Calibri" w:hAnsi="Calibri" w:cs="Calibri"/>
              </w:rPr>
              <w:t>Fraser Barbour</w:t>
            </w:r>
          </w:p>
        </w:tc>
        <w:tc>
          <w:tcPr>
            <w:tcW w:w="3566" w:type="dxa"/>
          </w:tcPr>
          <w:p w14:paraId="2B9B006A" w14:textId="77777777" w:rsidR="00951E14" w:rsidRDefault="00951E14" w:rsidP="00951E14">
            <w:pPr>
              <w:rPr>
                <w:rFonts w:ascii="Calibri" w:eastAsia="Calibri" w:hAnsi="Calibri" w:cs="Calibri"/>
                <w:b/>
                <w:bCs/>
              </w:rPr>
            </w:pPr>
            <w:r w:rsidRPr="5A480574">
              <w:rPr>
                <w:rFonts w:ascii="Calibri" w:eastAsia="Calibri" w:hAnsi="Calibri" w:cs="Calibri"/>
                <w:b/>
                <w:bCs/>
              </w:rPr>
              <w:t>Training grade/post:</w:t>
            </w:r>
          </w:p>
          <w:p w14:paraId="746B9B4D" w14:textId="77777777" w:rsidR="00951E14" w:rsidRDefault="00951E14" w:rsidP="00951E14">
            <w:pPr>
              <w:rPr>
                <w:rFonts w:ascii="Calibri" w:eastAsia="Calibri" w:hAnsi="Calibri" w:cs="Calibri"/>
              </w:rPr>
            </w:pPr>
            <w:r w:rsidRPr="5A480574">
              <w:rPr>
                <w:rFonts w:ascii="Calibri" w:eastAsia="Calibri" w:hAnsi="Calibri" w:cs="Calibri"/>
              </w:rPr>
              <w:t>SHO</w:t>
            </w:r>
          </w:p>
        </w:tc>
      </w:tr>
      <w:tr w:rsidR="00951E14" w14:paraId="17E44A86" w14:textId="77777777" w:rsidTr="00951E14">
        <w:trPr>
          <w:trHeight w:val="300"/>
        </w:trPr>
        <w:tc>
          <w:tcPr>
            <w:tcW w:w="10207" w:type="dxa"/>
            <w:gridSpan w:val="2"/>
          </w:tcPr>
          <w:p w14:paraId="1493BA0C" w14:textId="77777777" w:rsidR="00951E14" w:rsidRDefault="00951E14" w:rsidP="00951E14">
            <w:pPr>
              <w:rPr>
                <w:rFonts w:ascii="Calibri" w:eastAsia="Calibri" w:hAnsi="Calibri" w:cs="Calibri"/>
                <w:b/>
                <w:bCs/>
              </w:rPr>
            </w:pPr>
            <w:r w:rsidRPr="5A480574">
              <w:rPr>
                <w:rFonts w:ascii="Calibri" w:eastAsia="Calibri" w:hAnsi="Calibri" w:cs="Calibri"/>
                <w:b/>
                <w:bCs/>
              </w:rPr>
              <w:t>Institution:</w:t>
            </w:r>
          </w:p>
          <w:p w14:paraId="025527CB" w14:textId="77777777" w:rsidR="00951E14" w:rsidRDefault="00951E14" w:rsidP="00951E14">
            <w:pPr>
              <w:rPr>
                <w:rFonts w:ascii="Calibri" w:eastAsia="Calibri" w:hAnsi="Calibri" w:cs="Calibri"/>
              </w:rPr>
            </w:pPr>
            <w:r w:rsidRPr="6AD2C253">
              <w:rPr>
                <w:rFonts w:ascii="Calibri" w:eastAsia="Calibri" w:hAnsi="Calibri" w:cs="Calibri"/>
              </w:rPr>
              <w:t>Sunderland Royal Hospital</w:t>
            </w:r>
          </w:p>
        </w:tc>
      </w:tr>
      <w:tr w:rsidR="00951E14" w14:paraId="113DEFD3" w14:textId="77777777" w:rsidTr="00951E14">
        <w:trPr>
          <w:trHeight w:val="300"/>
        </w:trPr>
        <w:tc>
          <w:tcPr>
            <w:tcW w:w="10207" w:type="dxa"/>
            <w:gridSpan w:val="2"/>
          </w:tcPr>
          <w:p w14:paraId="2C0BBDDE" w14:textId="77777777" w:rsidR="00951E14" w:rsidRDefault="00951E14" w:rsidP="00951E14">
            <w:pPr>
              <w:rPr>
                <w:rFonts w:ascii="Calibri" w:eastAsia="Calibri" w:hAnsi="Calibri" w:cs="Calibri"/>
                <w:b/>
                <w:bCs/>
              </w:rPr>
            </w:pPr>
            <w:r w:rsidRPr="5A480574">
              <w:rPr>
                <w:rFonts w:ascii="Calibri" w:eastAsia="Calibri" w:hAnsi="Calibri" w:cs="Calibri"/>
                <w:b/>
                <w:bCs/>
              </w:rPr>
              <w:t>Title of Presentation:</w:t>
            </w:r>
          </w:p>
          <w:p w14:paraId="597FA731" w14:textId="77777777" w:rsidR="00951E14" w:rsidRPr="001A44C0" w:rsidRDefault="00951E14" w:rsidP="00951E14">
            <w:pPr>
              <w:rPr>
                <w:rFonts w:ascii="Calibri" w:eastAsia="Calibri" w:hAnsi="Calibri" w:cs="Calibri"/>
                <w:color w:val="000000" w:themeColor="text1"/>
              </w:rPr>
            </w:pPr>
            <w:r w:rsidRPr="7D92EDBC">
              <w:rPr>
                <w:rFonts w:ascii="Calibri" w:eastAsia="Calibri" w:hAnsi="Calibri" w:cs="Calibri"/>
                <w:color w:val="000000" w:themeColor="text1"/>
              </w:rPr>
              <w:t>Assessing the Novel ‘</w:t>
            </w:r>
            <w:proofErr w:type="spellStart"/>
            <w:r w:rsidRPr="7D92EDBC">
              <w:rPr>
                <w:rFonts w:ascii="Calibri" w:eastAsia="Calibri" w:hAnsi="Calibri" w:cs="Calibri"/>
                <w:color w:val="000000" w:themeColor="text1"/>
              </w:rPr>
              <w:t>ClearPetra</w:t>
            </w:r>
            <w:proofErr w:type="spellEnd"/>
            <w:r w:rsidRPr="7D92EDBC">
              <w:rPr>
                <w:rFonts w:ascii="Calibri" w:eastAsia="Calibri" w:hAnsi="Calibri" w:cs="Calibri"/>
                <w:color w:val="000000" w:themeColor="text1"/>
              </w:rPr>
              <w:t>’ Suction Ureteral Access Sheath During Renal Stone Surgery</w:t>
            </w:r>
          </w:p>
        </w:tc>
      </w:tr>
      <w:tr w:rsidR="00951E14" w14:paraId="583EDEB6" w14:textId="77777777" w:rsidTr="00951E14">
        <w:trPr>
          <w:trHeight w:val="300"/>
        </w:trPr>
        <w:tc>
          <w:tcPr>
            <w:tcW w:w="10207" w:type="dxa"/>
            <w:gridSpan w:val="2"/>
          </w:tcPr>
          <w:p w14:paraId="10263025" w14:textId="77777777" w:rsidR="00951E14" w:rsidRDefault="00951E14" w:rsidP="00951E14">
            <w:pPr>
              <w:rPr>
                <w:rFonts w:ascii="Calibri" w:eastAsia="Calibri" w:hAnsi="Calibri" w:cs="Calibri"/>
                <w:b/>
                <w:bCs/>
              </w:rPr>
            </w:pPr>
            <w:r w:rsidRPr="5A480574">
              <w:rPr>
                <w:rFonts w:ascii="Calibri" w:eastAsia="Calibri" w:hAnsi="Calibri" w:cs="Calibri"/>
                <w:b/>
                <w:bCs/>
              </w:rPr>
              <w:t>Authors:</w:t>
            </w:r>
          </w:p>
          <w:p w14:paraId="2411C1A7" w14:textId="77777777" w:rsidR="00951E14" w:rsidRDefault="00951E14" w:rsidP="00951E14">
            <w:pPr>
              <w:rPr>
                <w:rFonts w:ascii="Calibri" w:eastAsia="Calibri" w:hAnsi="Calibri" w:cs="Calibri"/>
                <w:color w:val="000000" w:themeColor="text1"/>
              </w:rPr>
            </w:pPr>
            <w:r w:rsidRPr="7D92EDBC">
              <w:rPr>
                <w:rFonts w:ascii="Calibri" w:eastAsia="Calibri" w:hAnsi="Calibri" w:cs="Calibri"/>
                <w:color w:val="000000" w:themeColor="text1"/>
              </w:rPr>
              <w:t xml:space="preserve">Fraser Barbour, Ken </w:t>
            </w:r>
            <w:proofErr w:type="spellStart"/>
            <w:r w:rsidRPr="7D92EDBC">
              <w:rPr>
                <w:rFonts w:ascii="Calibri" w:eastAsia="Calibri" w:hAnsi="Calibri" w:cs="Calibri"/>
                <w:color w:val="000000" w:themeColor="text1"/>
              </w:rPr>
              <w:t>MacKenzie</w:t>
            </w:r>
            <w:proofErr w:type="spellEnd"/>
          </w:p>
        </w:tc>
      </w:tr>
      <w:tr w:rsidR="00951E14" w14:paraId="0416FBF5" w14:textId="77777777" w:rsidTr="00951E14">
        <w:trPr>
          <w:trHeight w:val="300"/>
        </w:trPr>
        <w:tc>
          <w:tcPr>
            <w:tcW w:w="10207" w:type="dxa"/>
            <w:gridSpan w:val="2"/>
            <w:shd w:val="clear" w:color="auto" w:fill="D0CECE" w:themeFill="background2" w:themeFillShade="E6"/>
          </w:tcPr>
          <w:p w14:paraId="7EF2CB0C" w14:textId="77777777" w:rsidR="00951E14" w:rsidRDefault="00951E14" w:rsidP="00951E14">
            <w:pPr>
              <w:rPr>
                <w:rFonts w:ascii="Calibri" w:eastAsia="Calibri" w:hAnsi="Calibri" w:cs="Calibri"/>
                <w:b/>
                <w:bCs/>
              </w:rPr>
            </w:pPr>
            <w:r w:rsidRPr="3EA1A373">
              <w:rPr>
                <w:rFonts w:ascii="Calibri" w:eastAsia="Calibri" w:hAnsi="Calibri" w:cs="Calibri"/>
                <w:b/>
                <w:bCs/>
              </w:rPr>
              <w:t>Aims:</w:t>
            </w:r>
          </w:p>
          <w:p w14:paraId="436490E2" w14:textId="77777777" w:rsidR="00951E14" w:rsidRDefault="00951E14" w:rsidP="00951E14">
            <w:pPr>
              <w:rPr>
                <w:rFonts w:ascii="Calibri" w:eastAsia="Calibri" w:hAnsi="Calibri" w:cs="Calibri"/>
                <w:color w:val="000000" w:themeColor="text1"/>
              </w:rPr>
            </w:pPr>
            <w:r w:rsidRPr="1B9CBFDF">
              <w:rPr>
                <w:rFonts w:ascii="Calibri" w:eastAsia="Calibri" w:hAnsi="Calibri" w:cs="Calibri"/>
                <w:color w:val="000000" w:themeColor="text1"/>
              </w:rPr>
              <w:t>New ureteral access sheaths which include suction aim to speed up the clearance of renal stones during flexible ureteroscopy, help avoid the use of expensive baskets and reduce intra-renal pressure. This single-centre audit aims to assess the initial results from one such suction access sheath ‘</w:t>
            </w:r>
            <w:proofErr w:type="spellStart"/>
            <w:r w:rsidRPr="1B9CBFDF">
              <w:rPr>
                <w:rFonts w:ascii="Calibri" w:eastAsia="Calibri" w:hAnsi="Calibri" w:cs="Calibri"/>
                <w:color w:val="000000" w:themeColor="text1"/>
              </w:rPr>
              <w:t>ClearPetra</w:t>
            </w:r>
            <w:proofErr w:type="spellEnd"/>
            <w:r w:rsidRPr="1B9CBFDF">
              <w:rPr>
                <w:rFonts w:ascii="Calibri" w:eastAsia="Calibri" w:hAnsi="Calibri" w:cs="Calibri"/>
                <w:color w:val="000000" w:themeColor="text1"/>
              </w:rPr>
              <w:t>’.</w:t>
            </w:r>
          </w:p>
        </w:tc>
      </w:tr>
      <w:tr w:rsidR="00951E14" w14:paraId="30C58ADE" w14:textId="77777777" w:rsidTr="00951E14">
        <w:trPr>
          <w:trHeight w:val="300"/>
        </w:trPr>
        <w:tc>
          <w:tcPr>
            <w:tcW w:w="10207" w:type="dxa"/>
            <w:gridSpan w:val="2"/>
            <w:shd w:val="clear" w:color="auto" w:fill="D0CECE" w:themeFill="background2" w:themeFillShade="E6"/>
          </w:tcPr>
          <w:p w14:paraId="00CC8EEB" w14:textId="77777777" w:rsidR="00951E14" w:rsidRDefault="00951E14" w:rsidP="00951E14">
            <w:pPr>
              <w:rPr>
                <w:rFonts w:ascii="Calibri" w:eastAsia="Calibri" w:hAnsi="Calibri" w:cs="Calibri"/>
                <w:b/>
                <w:bCs/>
              </w:rPr>
            </w:pPr>
            <w:r w:rsidRPr="3EA1A373">
              <w:rPr>
                <w:rFonts w:ascii="Calibri" w:eastAsia="Calibri" w:hAnsi="Calibri" w:cs="Calibri"/>
                <w:b/>
                <w:bCs/>
              </w:rPr>
              <w:t>Methods:</w:t>
            </w:r>
          </w:p>
          <w:p w14:paraId="42938797" w14:textId="77777777" w:rsidR="00951E14" w:rsidRDefault="00951E14" w:rsidP="00951E14">
            <w:pPr>
              <w:rPr>
                <w:rFonts w:ascii="Calibri" w:eastAsia="Calibri" w:hAnsi="Calibri" w:cs="Calibri"/>
                <w:color w:val="000000" w:themeColor="text1"/>
              </w:rPr>
            </w:pPr>
            <w:r w:rsidRPr="7D92EDBC">
              <w:rPr>
                <w:rFonts w:ascii="Calibri" w:eastAsia="Calibri" w:hAnsi="Calibri" w:cs="Calibri"/>
                <w:color w:val="000000" w:themeColor="text1"/>
              </w:rPr>
              <w:t xml:space="preserve">Over 2-months flexible ureteroscopies for renal stones in which ureteral access sheath were used were prospectively recorded. Data on type of access sheath used, stone burden, laser fragmentation method, whether a basket was used, operative time, and complications were recorded. </w:t>
            </w:r>
          </w:p>
        </w:tc>
      </w:tr>
      <w:tr w:rsidR="00951E14" w14:paraId="6FD8CF56" w14:textId="77777777" w:rsidTr="00951E14">
        <w:trPr>
          <w:trHeight w:val="300"/>
        </w:trPr>
        <w:tc>
          <w:tcPr>
            <w:tcW w:w="10207" w:type="dxa"/>
            <w:gridSpan w:val="2"/>
            <w:shd w:val="clear" w:color="auto" w:fill="D0CECE" w:themeFill="background2" w:themeFillShade="E6"/>
          </w:tcPr>
          <w:p w14:paraId="256D31E1" w14:textId="77777777" w:rsidR="00951E14" w:rsidRDefault="00951E14" w:rsidP="00951E14">
            <w:pPr>
              <w:rPr>
                <w:rFonts w:ascii="Calibri" w:eastAsia="Calibri" w:hAnsi="Calibri" w:cs="Calibri"/>
                <w:b/>
                <w:bCs/>
              </w:rPr>
            </w:pPr>
            <w:r w:rsidRPr="3EA1A373">
              <w:rPr>
                <w:rFonts w:ascii="Calibri" w:eastAsia="Calibri" w:hAnsi="Calibri" w:cs="Calibri"/>
                <w:b/>
                <w:bCs/>
              </w:rPr>
              <w:t>Results:</w:t>
            </w:r>
          </w:p>
          <w:p w14:paraId="691F464C" w14:textId="77777777" w:rsidR="00951E14" w:rsidRDefault="00951E14" w:rsidP="00951E14">
            <w:pPr>
              <w:rPr>
                <w:rFonts w:ascii="Calibri" w:eastAsia="Calibri" w:hAnsi="Calibri" w:cs="Calibri"/>
                <w:color w:val="000000" w:themeColor="text1"/>
              </w:rPr>
            </w:pPr>
            <w:r w:rsidRPr="7D92EDBC">
              <w:rPr>
                <w:rFonts w:ascii="Calibri" w:eastAsia="Calibri" w:hAnsi="Calibri" w:cs="Calibri"/>
                <w:color w:val="000000" w:themeColor="text1"/>
              </w:rPr>
              <w:t>37 patients underwent flexible ureteroscopy for renal stones in which an access sheath was used from 22</w:t>
            </w:r>
            <w:r w:rsidRPr="7D92EDBC">
              <w:rPr>
                <w:rFonts w:ascii="Calibri" w:eastAsia="Calibri" w:hAnsi="Calibri" w:cs="Calibri"/>
                <w:color w:val="000000" w:themeColor="text1"/>
                <w:vertAlign w:val="superscript"/>
              </w:rPr>
              <w:t>nd</w:t>
            </w:r>
            <w:r w:rsidRPr="7D92EDBC">
              <w:rPr>
                <w:rFonts w:ascii="Calibri" w:eastAsia="Calibri" w:hAnsi="Calibri" w:cs="Calibri"/>
                <w:color w:val="000000" w:themeColor="text1"/>
              </w:rPr>
              <w:t xml:space="preserve"> July – 27</w:t>
            </w:r>
            <w:r w:rsidRPr="7D92EDBC">
              <w:rPr>
                <w:rFonts w:ascii="Calibri" w:eastAsia="Calibri" w:hAnsi="Calibri" w:cs="Calibri"/>
                <w:color w:val="000000" w:themeColor="text1"/>
                <w:vertAlign w:val="superscript"/>
              </w:rPr>
              <w:t>th</w:t>
            </w:r>
            <w:r w:rsidRPr="7D92EDBC">
              <w:rPr>
                <w:rFonts w:ascii="Calibri" w:eastAsia="Calibri" w:hAnsi="Calibri" w:cs="Calibri"/>
                <w:color w:val="000000" w:themeColor="text1"/>
              </w:rPr>
              <w:t xml:space="preserve"> September 2024. In 16 of these </w:t>
            </w:r>
            <w:proofErr w:type="spellStart"/>
            <w:r w:rsidRPr="7D92EDBC">
              <w:rPr>
                <w:rFonts w:ascii="Calibri" w:eastAsia="Calibri" w:hAnsi="Calibri" w:cs="Calibri"/>
                <w:color w:val="000000" w:themeColor="text1"/>
              </w:rPr>
              <w:t>ClearPetra</w:t>
            </w:r>
            <w:proofErr w:type="spellEnd"/>
            <w:r w:rsidRPr="7D92EDBC">
              <w:rPr>
                <w:rFonts w:ascii="Calibri" w:eastAsia="Calibri" w:hAnsi="Calibri" w:cs="Calibri"/>
                <w:color w:val="000000" w:themeColor="text1"/>
              </w:rPr>
              <w:t xml:space="preserve"> access sheaths were used. 11 of these 16 patients had been pre-stented. The average operation time in the </w:t>
            </w:r>
            <w:proofErr w:type="spellStart"/>
            <w:r w:rsidRPr="7D92EDBC">
              <w:rPr>
                <w:rFonts w:ascii="Calibri" w:eastAsia="Calibri" w:hAnsi="Calibri" w:cs="Calibri"/>
                <w:color w:val="000000" w:themeColor="text1"/>
              </w:rPr>
              <w:t>ClearPetra</w:t>
            </w:r>
            <w:proofErr w:type="spellEnd"/>
            <w:r w:rsidRPr="7D92EDBC">
              <w:rPr>
                <w:rFonts w:ascii="Calibri" w:eastAsia="Calibri" w:hAnsi="Calibri" w:cs="Calibri"/>
                <w:color w:val="000000" w:themeColor="text1"/>
              </w:rPr>
              <w:t xml:space="preserve"> group was 96 minutes, compared to 68 minutes for the 21 cases using other access sheaths. Complete stone clearance was achieved in 11/16 </w:t>
            </w:r>
            <w:proofErr w:type="spellStart"/>
            <w:r w:rsidRPr="7D92EDBC">
              <w:rPr>
                <w:rFonts w:ascii="Calibri" w:eastAsia="Calibri" w:hAnsi="Calibri" w:cs="Calibri"/>
                <w:color w:val="000000" w:themeColor="text1"/>
              </w:rPr>
              <w:t>ClearPetra</w:t>
            </w:r>
            <w:proofErr w:type="spellEnd"/>
            <w:r w:rsidRPr="7D92EDBC">
              <w:rPr>
                <w:rFonts w:ascii="Calibri" w:eastAsia="Calibri" w:hAnsi="Calibri" w:cs="Calibri"/>
                <w:color w:val="000000" w:themeColor="text1"/>
              </w:rPr>
              <w:t xml:space="preserve"> cases (69%), and 16/21 of the other group (76%). A basket was required in just 2 </w:t>
            </w:r>
            <w:proofErr w:type="spellStart"/>
            <w:r w:rsidRPr="7D92EDBC">
              <w:rPr>
                <w:rFonts w:ascii="Calibri" w:eastAsia="Calibri" w:hAnsi="Calibri" w:cs="Calibri"/>
                <w:color w:val="000000" w:themeColor="text1"/>
              </w:rPr>
              <w:t>ClearPetra</w:t>
            </w:r>
            <w:proofErr w:type="spellEnd"/>
            <w:r w:rsidRPr="7D92EDBC">
              <w:rPr>
                <w:rFonts w:ascii="Calibri" w:eastAsia="Calibri" w:hAnsi="Calibri" w:cs="Calibri"/>
                <w:color w:val="000000" w:themeColor="text1"/>
              </w:rPr>
              <w:t xml:space="preserve"> cases, whereas baskets were used in 19 of the other cases. Post-operatively, 1 </w:t>
            </w:r>
            <w:proofErr w:type="spellStart"/>
            <w:r w:rsidRPr="7D92EDBC">
              <w:rPr>
                <w:rFonts w:ascii="Calibri" w:eastAsia="Calibri" w:hAnsi="Calibri" w:cs="Calibri"/>
                <w:color w:val="000000" w:themeColor="text1"/>
              </w:rPr>
              <w:t>ClearPetra</w:t>
            </w:r>
            <w:proofErr w:type="spellEnd"/>
            <w:r w:rsidRPr="7D92EDBC">
              <w:rPr>
                <w:rFonts w:ascii="Calibri" w:eastAsia="Calibri" w:hAnsi="Calibri" w:cs="Calibri"/>
                <w:color w:val="000000" w:themeColor="text1"/>
              </w:rPr>
              <w:t xml:space="preserve"> patient attended A+E or was readmitted compared to 5 from the other group. </w:t>
            </w:r>
          </w:p>
        </w:tc>
      </w:tr>
      <w:tr w:rsidR="00951E14" w14:paraId="624FD018" w14:textId="77777777" w:rsidTr="00951E14">
        <w:trPr>
          <w:trHeight w:val="300"/>
        </w:trPr>
        <w:tc>
          <w:tcPr>
            <w:tcW w:w="10207" w:type="dxa"/>
            <w:gridSpan w:val="2"/>
            <w:shd w:val="clear" w:color="auto" w:fill="D0CECE" w:themeFill="background2" w:themeFillShade="E6"/>
          </w:tcPr>
          <w:p w14:paraId="6B970E80" w14:textId="77777777" w:rsidR="00951E14" w:rsidRDefault="00951E14" w:rsidP="00951E14">
            <w:pPr>
              <w:rPr>
                <w:rFonts w:ascii="Calibri" w:eastAsia="Calibri" w:hAnsi="Calibri" w:cs="Calibri"/>
                <w:b/>
                <w:bCs/>
              </w:rPr>
            </w:pPr>
            <w:r w:rsidRPr="7D92EDBC">
              <w:rPr>
                <w:rFonts w:ascii="Calibri" w:eastAsia="Calibri" w:hAnsi="Calibri" w:cs="Calibri"/>
                <w:b/>
                <w:bCs/>
              </w:rPr>
              <w:t>Conclusion:</w:t>
            </w:r>
          </w:p>
          <w:p w14:paraId="1D1432DF" w14:textId="77777777" w:rsidR="00951E14" w:rsidRDefault="00951E14" w:rsidP="00951E14">
            <w:pPr>
              <w:rPr>
                <w:rFonts w:ascii="Calibri" w:eastAsia="Calibri" w:hAnsi="Calibri" w:cs="Calibri"/>
                <w:color w:val="000000" w:themeColor="text1"/>
              </w:rPr>
            </w:pPr>
            <w:r w:rsidRPr="7D92EDBC">
              <w:rPr>
                <w:rFonts w:ascii="Calibri" w:eastAsia="Calibri" w:hAnsi="Calibri" w:cs="Calibri"/>
                <w:color w:val="000000" w:themeColor="text1"/>
              </w:rPr>
              <w:t xml:space="preserve">The data shows that suction access sheaths are safe in renal stone surgery and reduce the need for baskets. More research is needed to see how suction access sheaths affect the length of time of flexible ureteroscopy, types of cases in which they may be particularly </w:t>
            </w:r>
            <w:proofErr w:type="gramStart"/>
            <w:r w:rsidRPr="7D92EDBC">
              <w:rPr>
                <w:rFonts w:ascii="Calibri" w:eastAsia="Calibri" w:hAnsi="Calibri" w:cs="Calibri"/>
                <w:color w:val="000000" w:themeColor="text1"/>
              </w:rPr>
              <w:t>useful, and</w:t>
            </w:r>
            <w:proofErr w:type="gramEnd"/>
            <w:r w:rsidRPr="7D92EDBC">
              <w:rPr>
                <w:rFonts w:ascii="Calibri" w:eastAsia="Calibri" w:hAnsi="Calibri" w:cs="Calibri"/>
                <w:color w:val="000000" w:themeColor="text1"/>
              </w:rPr>
              <w:t xml:space="preserve"> assess longer-term outcomes.</w:t>
            </w:r>
          </w:p>
          <w:p w14:paraId="2AF05DEB" w14:textId="77777777" w:rsidR="00951E14" w:rsidRDefault="00951E14" w:rsidP="00951E14">
            <w:pPr>
              <w:rPr>
                <w:rFonts w:ascii="Calibri" w:eastAsia="Calibri" w:hAnsi="Calibri" w:cs="Calibri"/>
              </w:rPr>
            </w:pPr>
          </w:p>
        </w:tc>
      </w:tr>
    </w:tbl>
    <w:p w14:paraId="61148C8E" w14:textId="77777777" w:rsidR="00B1672D" w:rsidRPr="00FD3E6E" w:rsidRDefault="00B1672D" w:rsidP="005C080D">
      <w:pPr>
        <w:spacing w:line="240" w:lineRule="auto"/>
        <w:rPr>
          <w:b/>
        </w:rPr>
      </w:pPr>
    </w:p>
    <w:p w14:paraId="6AD8B259" w14:textId="77777777" w:rsidR="00815056" w:rsidRDefault="00815056">
      <w:pPr>
        <w:spacing w:after="160" w:line="259" w:lineRule="auto"/>
        <w:rPr>
          <w:b/>
        </w:rPr>
      </w:pPr>
      <w:r>
        <w:rPr>
          <w:b/>
        </w:rPr>
        <w:br w:type="page"/>
      </w:r>
    </w:p>
    <w:p w14:paraId="094460A8" w14:textId="2B4E12D3" w:rsidR="00956BAA" w:rsidRPr="00AF00B7" w:rsidRDefault="00956BAA" w:rsidP="005C080D">
      <w:pPr>
        <w:spacing w:after="0" w:line="240" w:lineRule="auto"/>
        <w:rPr>
          <w:rFonts w:ascii="Arial" w:hAnsi="Arial" w:cs="Arial"/>
          <w:b/>
          <w:sz w:val="24"/>
          <w:szCs w:val="24"/>
        </w:rPr>
      </w:pPr>
      <w:r w:rsidRPr="00AF00B7">
        <w:rPr>
          <w:rFonts w:ascii="Arial" w:hAnsi="Arial" w:cs="Arial"/>
          <w:b/>
          <w:sz w:val="24"/>
          <w:szCs w:val="24"/>
        </w:rPr>
        <w:lastRenderedPageBreak/>
        <w:t>Abstract 4</w:t>
      </w:r>
    </w:p>
    <w:p w14:paraId="3A170CC9" w14:textId="40E2353C" w:rsidR="005C080D" w:rsidRDefault="005C080D" w:rsidP="005C080D">
      <w:pPr>
        <w:spacing w:after="0" w:line="240" w:lineRule="auto"/>
        <w:rPr>
          <w:b/>
        </w:rPr>
      </w:pPr>
    </w:p>
    <w:p w14:paraId="4508ABC6" w14:textId="77777777" w:rsidR="00AF00B7" w:rsidRDefault="00AF00B7" w:rsidP="005C080D">
      <w:pPr>
        <w:spacing w:after="0" w:line="240" w:lineRule="auto"/>
        <w:rPr>
          <w:b/>
        </w:rPr>
      </w:pP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951E14" w14:paraId="0678CD24" w14:textId="77777777" w:rsidTr="00951E14">
        <w:tc>
          <w:tcPr>
            <w:tcW w:w="5488" w:type="dxa"/>
            <w:tcBorders>
              <w:top w:val="single" w:sz="4" w:space="0" w:color="auto"/>
              <w:left w:val="single" w:sz="4" w:space="0" w:color="auto"/>
              <w:bottom w:val="single" w:sz="4" w:space="0" w:color="auto"/>
              <w:right w:val="single" w:sz="4" w:space="0" w:color="auto"/>
            </w:tcBorders>
          </w:tcPr>
          <w:p w14:paraId="5D449E8D" w14:textId="77777777" w:rsidR="00951E14" w:rsidRDefault="00951E14" w:rsidP="004D412D">
            <w:pPr>
              <w:spacing w:after="0" w:line="240" w:lineRule="auto"/>
            </w:pPr>
            <w:r>
              <w:rPr>
                <w:b/>
              </w:rPr>
              <w:t>Name of Presenter</w:t>
            </w:r>
            <w:r>
              <w:t>:</w:t>
            </w:r>
          </w:p>
          <w:p w14:paraId="2C8376DE" w14:textId="77777777" w:rsidR="00951E14" w:rsidRDefault="00951E14" w:rsidP="004D412D">
            <w:pPr>
              <w:spacing w:after="0" w:line="240" w:lineRule="auto"/>
              <w:rPr>
                <w:rFonts w:cs="Times New Roman"/>
              </w:rPr>
            </w:pPr>
            <w:r w:rsidRPr="004E2FB0">
              <w:rPr>
                <w:rFonts w:cs="Times New Roman"/>
              </w:rPr>
              <w:t>James Liston </w:t>
            </w:r>
          </w:p>
          <w:p w14:paraId="4A73EEDA" w14:textId="77777777" w:rsidR="00951E14" w:rsidRDefault="00951E14" w:rsidP="004D412D">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14:paraId="5C9EF09E" w14:textId="77777777" w:rsidR="00951E14" w:rsidRDefault="00951E14" w:rsidP="004D412D">
            <w:pPr>
              <w:spacing w:after="0" w:line="240" w:lineRule="auto"/>
            </w:pPr>
            <w:r>
              <w:rPr>
                <w:b/>
              </w:rPr>
              <w:t>Training grade/post</w:t>
            </w:r>
            <w:r>
              <w:t>:</w:t>
            </w:r>
          </w:p>
          <w:p w14:paraId="5881CBEB" w14:textId="77777777" w:rsidR="00951E14" w:rsidRDefault="00951E14" w:rsidP="004D412D">
            <w:pPr>
              <w:spacing w:after="0" w:line="240" w:lineRule="auto"/>
              <w:rPr>
                <w:rFonts w:cs="Times New Roman"/>
              </w:rPr>
            </w:pPr>
            <w:r>
              <w:rPr>
                <w:rFonts w:cs="Times New Roman"/>
              </w:rPr>
              <w:t>ST3</w:t>
            </w:r>
          </w:p>
        </w:tc>
      </w:tr>
      <w:tr w:rsidR="00951E14" w14:paraId="26B986A8"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63629E97" w14:textId="77777777" w:rsidR="00951E14" w:rsidRDefault="00951E14" w:rsidP="004D412D">
            <w:pPr>
              <w:spacing w:after="0" w:line="240" w:lineRule="auto"/>
            </w:pPr>
            <w:r>
              <w:rPr>
                <w:b/>
              </w:rPr>
              <w:t>Institution</w:t>
            </w:r>
            <w:r>
              <w:t>:</w:t>
            </w:r>
          </w:p>
          <w:p w14:paraId="596AEFC1" w14:textId="77777777" w:rsidR="00951E14" w:rsidRDefault="00951E14" w:rsidP="004D412D">
            <w:pPr>
              <w:spacing w:after="0" w:line="240" w:lineRule="auto"/>
            </w:pPr>
            <w:r>
              <w:t>James Cook University Hospital</w:t>
            </w:r>
          </w:p>
          <w:p w14:paraId="767CA457" w14:textId="77777777" w:rsidR="00951E14" w:rsidRDefault="00951E14" w:rsidP="004D412D">
            <w:pPr>
              <w:spacing w:after="0" w:line="240" w:lineRule="auto"/>
              <w:rPr>
                <w:rFonts w:cs="Times New Roman"/>
              </w:rPr>
            </w:pPr>
          </w:p>
        </w:tc>
      </w:tr>
      <w:tr w:rsidR="00951E14" w14:paraId="7C311927"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366FA7FC" w14:textId="77777777" w:rsidR="00951E14" w:rsidRDefault="00951E14" w:rsidP="004D412D">
            <w:pPr>
              <w:spacing w:after="0" w:line="240" w:lineRule="auto"/>
            </w:pPr>
            <w:r>
              <w:rPr>
                <w:b/>
              </w:rPr>
              <w:t>Title of Presentation</w:t>
            </w:r>
            <w:r>
              <w:t>:</w:t>
            </w:r>
          </w:p>
          <w:p w14:paraId="748C36ED" w14:textId="77777777" w:rsidR="00951E14" w:rsidRDefault="00951E14" w:rsidP="004D412D">
            <w:pPr>
              <w:spacing w:after="0" w:line="240" w:lineRule="auto"/>
            </w:pPr>
            <w:r w:rsidRPr="004E2FB0">
              <w:t>What Do Trainees Want? A Study of Subspecialty Interests Among Northeast Urology Trainees </w:t>
            </w:r>
          </w:p>
          <w:p w14:paraId="42240DC5" w14:textId="77777777" w:rsidR="00951E14" w:rsidRDefault="00951E14" w:rsidP="004D412D">
            <w:pPr>
              <w:spacing w:after="0" w:line="240" w:lineRule="auto"/>
              <w:rPr>
                <w:rFonts w:cs="Times New Roman"/>
              </w:rPr>
            </w:pPr>
          </w:p>
        </w:tc>
      </w:tr>
      <w:tr w:rsidR="00951E14" w14:paraId="3ADD02A6"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029EDE2A" w14:textId="77777777" w:rsidR="00951E14" w:rsidRDefault="00951E14" w:rsidP="004D412D">
            <w:pPr>
              <w:spacing w:after="0" w:line="240" w:lineRule="auto"/>
            </w:pPr>
            <w:r>
              <w:rPr>
                <w:b/>
              </w:rPr>
              <w:t>Authors</w:t>
            </w:r>
            <w:r>
              <w:t>:</w:t>
            </w:r>
          </w:p>
          <w:p w14:paraId="23BDA170" w14:textId="77777777" w:rsidR="00951E14" w:rsidRDefault="00951E14" w:rsidP="004D412D">
            <w:pPr>
              <w:spacing w:after="0" w:line="240" w:lineRule="auto"/>
            </w:pPr>
            <w:r w:rsidRPr="004E2FB0">
              <w:t xml:space="preserve"> James Liston, Ahmed </w:t>
            </w:r>
            <w:proofErr w:type="spellStart"/>
            <w:r w:rsidRPr="004E2FB0">
              <w:t>Ghonaimy</w:t>
            </w:r>
            <w:proofErr w:type="spellEnd"/>
            <w:r w:rsidRPr="004E2FB0">
              <w:t xml:space="preserve">, </w:t>
            </w:r>
            <w:proofErr w:type="spellStart"/>
            <w:r w:rsidRPr="004E2FB0">
              <w:t>Mehwash</w:t>
            </w:r>
            <w:proofErr w:type="spellEnd"/>
            <w:r w:rsidRPr="004E2FB0">
              <w:t xml:space="preserve"> Nadeem </w:t>
            </w:r>
          </w:p>
          <w:p w14:paraId="3CE717A9" w14:textId="77777777" w:rsidR="00951E14" w:rsidRDefault="00951E14" w:rsidP="004D412D">
            <w:pPr>
              <w:spacing w:after="0" w:line="240" w:lineRule="auto"/>
              <w:rPr>
                <w:rFonts w:cs="Times New Roman"/>
              </w:rPr>
            </w:pPr>
          </w:p>
          <w:p w14:paraId="0883944D" w14:textId="77777777" w:rsidR="00951E14" w:rsidRDefault="00951E14" w:rsidP="004D412D">
            <w:pPr>
              <w:spacing w:after="0" w:line="240" w:lineRule="auto"/>
              <w:rPr>
                <w:rFonts w:cs="Times New Roman"/>
              </w:rPr>
            </w:pPr>
          </w:p>
        </w:tc>
      </w:tr>
      <w:tr w:rsidR="00951E14" w14:paraId="5E94EF0C"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4BBB6861" w14:textId="77777777" w:rsidR="00951E14" w:rsidRDefault="00951E14" w:rsidP="004D412D">
            <w:pPr>
              <w:spacing w:after="0" w:line="240" w:lineRule="auto"/>
            </w:pPr>
            <w:r>
              <w:rPr>
                <w:b/>
              </w:rPr>
              <w:t>Aims</w:t>
            </w:r>
            <w:r>
              <w:t>:</w:t>
            </w:r>
          </w:p>
          <w:p w14:paraId="6FA0356A" w14:textId="77777777" w:rsidR="00951E14" w:rsidRDefault="00951E14" w:rsidP="004D412D">
            <w:pPr>
              <w:spacing w:after="0" w:line="240" w:lineRule="auto"/>
            </w:pPr>
            <w:r w:rsidRPr="004E2FB0">
              <w:t>Subspecialty interest in urology varies significantly among trainees, with a notable decline in the uptake of Functional, Female, Neuro-urology, and Urodynamics (FNUU). This study aimed to assess current subspecialty preferences and identify factors influencing these decisions among trainees in the Northeast deanery. </w:t>
            </w:r>
          </w:p>
          <w:p w14:paraId="702E1E16" w14:textId="77777777" w:rsidR="00951E14" w:rsidRDefault="00951E14" w:rsidP="004D412D">
            <w:pPr>
              <w:spacing w:after="0" w:line="240" w:lineRule="auto"/>
              <w:rPr>
                <w:rFonts w:cs="Times New Roman"/>
              </w:rPr>
            </w:pPr>
          </w:p>
          <w:p w14:paraId="3445387D" w14:textId="77777777" w:rsidR="00951E14" w:rsidRDefault="00951E14" w:rsidP="004D412D">
            <w:pPr>
              <w:spacing w:after="0" w:line="240" w:lineRule="auto"/>
              <w:rPr>
                <w:rFonts w:cs="Times New Roman"/>
              </w:rPr>
            </w:pPr>
          </w:p>
        </w:tc>
      </w:tr>
      <w:tr w:rsidR="00951E14" w14:paraId="168CDF03"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12A37ED2" w14:textId="77777777" w:rsidR="00951E14" w:rsidRDefault="00951E14" w:rsidP="004D412D">
            <w:pPr>
              <w:spacing w:after="0" w:line="240" w:lineRule="auto"/>
            </w:pPr>
            <w:r>
              <w:rPr>
                <w:b/>
              </w:rPr>
              <w:t>Methods</w:t>
            </w:r>
            <w:r>
              <w:t>:</w:t>
            </w:r>
          </w:p>
          <w:p w14:paraId="25450180" w14:textId="77777777" w:rsidR="00951E14" w:rsidRDefault="00951E14" w:rsidP="004D412D">
            <w:pPr>
              <w:spacing w:after="0" w:line="240" w:lineRule="auto"/>
            </w:pPr>
            <w:bookmarkStart w:id="2" w:name="_Hlk178948019"/>
            <w:r w:rsidRPr="004E2FB0">
              <w:t>Northeast Urology trainees were asked to complete an anonymous survey via SurveyMonkey, distributed through a regional WhatsApp group. The nine-question survey focused on subspecialty preferences and the key factors considered when making these decisions. Additionally, the survey explored opinions about FNUU and the factors influencing these views. </w:t>
            </w:r>
            <w:bookmarkEnd w:id="2"/>
          </w:p>
          <w:p w14:paraId="635762B7" w14:textId="77777777" w:rsidR="00951E14" w:rsidRDefault="00951E14" w:rsidP="004D412D">
            <w:pPr>
              <w:spacing w:after="0" w:line="240" w:lineRule="auto"/>
              <w:rPr>
                <w:rFonts w:cs="Times New Roman"/>
              </w:rPr>
            </w:pPr>
          </w:p>
          <w:p w14:paraId="2A72F0CE" w14:textId="77777777" w:rsidR="00951E14" w:rsidRDefault="00951E14" w:rsidP="004D412D">
            <w:pPr>
              <w:spacing w:after="0" w:line="240" w:lineRule="auto"/>
              <w:rPr>
                <w:rFonts w:cs="Times New Roman"/>
              </w:rPr>
            </w:pPr>
          </w:p>
        </w:tc>
      </w:tr>
      <w:tr w:rsidR="00951E14" w14:paraId="080F586A"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35543734" w14:textId="77777777" w:rsidR="00951E14" w:rsidRPr="004E2FB0" w:rsidRDefault="00951E14" w:rsidP="004D412D">
            <w:pPr>
              <w:spacing w:after="0" w:line="240" w:lineRule="auto"/>
            </w:pPr>
            <w:r>
              <w:rPr>
                <w:b/>
              </w:rPr>
              <w:t>Results</w:t>
            </w:r>
            <w:r>
              <w:t>:</w:t>
            </w:r>
          </w:p>
          <w:p w14:paraId="7AD699CF" w14:textId="77777777" w:rsidR="00951E14" w:rsidRDefault="00951E14" w:rsidP="004D412D">
            <w:pPr>
              <w:spacing w:after="0" w:line="240" w:lineRule="auto"/>
            </w:pPr>
            <w:bookmarkStart w:id="3" w:name="_Hlk178948012"/>
            <w:r w:rsidRPr="004E2FB0">
              <w:t>The response rate was 71% (17/24 trainees</w:t>
            </w:r>
            <w:proofErr w:type="gramStart"/>
            <w:r w:rsidRPr="004E2FB0">
              <w:t>).</w:t>
            </w:r>
            <w:proofErr w:type="spellStart"/>
            <w:r w:rsidRPr="004E2FB0">
              <w:t>Uro</w:t>
            </w:r>
            <w:proofErr w:type="spellEnd"/>
            <w:proofErr w:type="gramEnd"/>
            <w:r w:rsidRPr="004E2FB0">
              <w:t>-Oncology was the most popular subspecialty (6 trainees), followed by Endourology (5) and Andrology (3). None of the trainees expressed an interest in FNUU, and 3 were undecided. The top factors influencing subspecialty choice were type of operations (17), work-life balance (12), and positive role models (11).Only 6 trainees reported having a minimum six-month placement in FNUU, and most rated their experience in FNUU as "okay" (11), with some rating it as good (4) or excellent (1).A majority (11 trainees) were unlikely or very unlikely to choose FNUU post-CCT, citing the patient cohort (15) and perceived non-rewarding outcomes (10)as key reasons. </w:t>
            </w:r>
            <w:bookmarkEnd w:id="3"/>
          </w:p>
          <w:p w14:paraId="15D784D3" w14:textId="77777777" w:rsidR="00951E14" w:rsidRDefault="00951E14" w:rsidP="004D412D">
            <w:pPr>
              <w:spacing w:after="0" w:line="240" w:lineRule="auto"/>
              <w:rPr>
                <w:rFonts w:cs="Times New Roman"/>
              </w:rPr>
            </w:pPr>
          </w:p>
        </w:tc>
      </w:tr>
      <w:tr w:rsidR="00951E14" w14:paraId="17E5F9BC"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4FBF921B" w14:textId="77777777" w:rsidR="00951E14" w:rsidRDefault="00951E14" w:rsidP="004D412D">
            <w:pPr>
              <w:spacing w:after="0" w:line="240" w:lineRule="auto"/>
            </w:pPr>
            <w:r>
              <w:rPr>
                <w:b/>
              </w:rPr>
              <w:t>Conclusion</w:t>
            </w:r>
            <w:r>
              <w:t>:</w:t>
            </w:r>
            <w:bookmarkStart w:id="4" w:name="_Hlk178948005"/>
          </w:p>
          <w:p w14:paraId="0354E71C" w14:textId="77777777" w:rsidR="00951E14" w:rsidRDefault="00951E14" w:rsidP="004D412D">
            <w:pPr>
              <w:spacing w:after="0" w:line="240" w:lineRule="auto"/>
            </w:pPr>
            <w:r w:rsidRPr="004E2FB0">
              <w:t>There is a marked lack of interest in FNUU among Northeast trainees, highlighting the need for improved engagement and exposure to the subspecialty to increase uptake. </w:t>
            </w:r>
            <w:bookmarkEnd w:id="4"/>
          </w:p>
          <w:p w14:paraId="6B32D3B8" w14:textId="77777777" w:rsidR="00951E14" w:rsidRDefault="00951E14" w:rsidP="004D412D">
            <w:pPr>
              <w:spacing w:after="0" w:line="240" w:lineRule="auto"/>
            </w:pPr>
          </w:p>
          <w:p w14:paraId="17F11CAE" w14:textId="77777777" w:rsidR="00951E14" w:rsidRPr="004E2FB0" w:rsidRDefault="00951E14" w:rsidP="004D412D">
            <w:pPr>
              <w:spacing w:after="0" w:line="240" w:lineRule="auto"/>
            </w:pPr>
          </w:p>
        </w:tc>
      </w:tr>
    </w:tbl>
    <w:p w14:paraId="780BEF60" w14:textId="77777777" w:rsidR="00AF00B7" w:rsidRDefault="00AF00B7" w:rsidP="005C080D">
      <w:pPr>
        <w:spacing w:after="0" w:line="240" w:lineRule="auto"/>
        <w:rPr>
          <w:b/>
        </w:rPr>
      </w:pPr>
    </w:p>
    <w:p w14:paraId="41210874" w14:textId="77777777" w:rsidR="00B1672D" w:rsidRPr="00FD3E6E" w:rsidRDefault="00B1672D" w:rsidP="005C080D">
      <w:pPr>
        <w:spacing w:after="0" w:line="240" w:lineRule="auto"/>
        <w:rPr>
          <w:b/>
        </w:rPr>
      </w:pPr>
    </w:p>
    <w:p w14:paraId="54EA3430" w14:textId="77777777" w:rsidR="00815056" w:rsidRPr="00B1672D" w:rsidRDefault="00815056">
      <w:pPr>
        <w:spacing w:after="160" w:line="259" w:lineRule="auto"/>
        <w:rPr>
          <w:b/>
        </w:rPr>
      </w:pPr>
      <w:r w:rsidRPr="00B1672D">
        <w:rPr>
          <w:b/>
        </w:rPr>
        <w:br w:type="page"/>
      </w:r>
    </w:p>
    <w:p w14:paraId="309C6619" w14:textId="7587C385" w:rsidR="00956BAA" w:rsidRPr="00AF00B7" w:rsidRDefault="00956BAA" w:rsidP="00FD3E6E">
      <w:pPr>
        <w:tabs>
          <w:tab w:val="center" w:pos="5386"/>
        </w:tabs>
        <w:spacing w:line="240" w:lineRule="auto"/>
        <w:rPr>
          <w:rFonts w:ascii="Arial" w:hAnsi="Arial" w:cs="Arial"/>
          <w:b/>
          <w:sz w:val="28"/>
          <w:szCs w:val="28"/>
        </w:rPr>
      </w:pPr>
      <w:r w:rsidRPr="00AF00B7">
        <w:rPr>
          <w:rFonts w:ascii="Arial" w:hAnsi="Arial" w:cs="Arial"/>
          <w:b/>
          <w:sz w:val="24"/>
          <w:szCs w:val="24"/>
        </w:rPr>
        <w:lastRenderedPageBreak/>
        <w:t>Abstract 5</w:t>
      </w:r>
      <w:r w:rsidR="002D751E" w:rsidRPr="00AF00B7">
        <w:rPr>
          <w:rFonts w:ascii="Arial" w:hAnsi="Arial" w:cs="Arial"/>
          <w:b/>
          <w:sz w:val="28"/>
          <w:szCs w:val="28"/>
        </w:rPr>
        <w:tab/>
      </w:r>
    </w:p>
    <w:p w14:paraId="0E3CCB64" w14:textId="77777777" w:rsidR="00FD3E6E" w:rsidRPr="00FD3E6E" w:rsidRDefault="00FD3E6E" w:rsidP="00FD3E6E">
      <w:pPr>
        <w:spacing w:after="0" w:line="240" w:lineRule="auto"/>
      </w:pP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951E14" w14:paraId="49F33726" w14:textId="77777777" w:rsidTr="00951E14">
        <w:tc>
          <w:tcPr>
            <w:tcW w:w="5488" w:type="dxa"/>
            <w:tcBorders>
              <w:top w:val="single" w:sz="4" w:space="0" w:color="auto"/>
              <w:left w:val="single" w:sz="4" w:space="0" w:color="auto"/>
              <w:bottom w:val="single" w:sz="4" w:space="0" w:color="auto"/>
              <w:right w:val="single" w:sz="4" w:space="0" w:color="auto"/>
            </w:tcBorders>
          </w:tcPr>
          <w:p w14:paraId="5567827D" w14:textId="77777777" w:rsidR="00951E14" w:rsidRDefault="00951E14" w:rsidP="004D412D">
            <w:pPr>
              <w:spacing w:after="0" w:line="240" w:lineRule="auto"/>
            </w:pPr>
            <w:r>
              <w:rPr>
                <w:b/>
              </w:rPr>
              <w:t>Name of Presenter</w:t>
            </w:r>
            <w:r>
              <w:t>: K Kuruvilla Zachariah</w:t>
            </w:r>
          </w:p>
          <w:p w14:paraId="7F05CEA5" w14:textId="77777777" w:rsidR="00951E14" w:rsidRDefault="00951E14" w:rsidP="004D412D">
            <w:pPr>
              <w:spacing w:after="0" w:line="240" w:lineRule="auto"/>
              <w:rPr>
                <w:rFonts w:cs="Times New Roman"/>
              </w:rPr>
            </w:pPr>
          </w:p>
        </w:tc>
        <w:tc>
          <w:tcPr>
            <w:tcW w:w="3528" w:type="dxa"/>
            <w:tcBorders>
              <w:top w:val="single" w:sz="4" w:space="0" w:color="auto"/>
              <w:left w:val="single" w:sz="4" w:space="0" w:color="auto"/>
              <w:bottom w:val="single" w:sz="4" w:space="0" w:color="auto"/>
              <w:right w:val="single" w:sz="4" w:space="0" w:color="auto"/>
            </w:tcBorders>
            <w:hideMark/>
          </w:tcPr>
          <w:p w14:paraId="1CD59CF5" w14:textId="77777777" w:rsidR="00951E14" w:rsidRDefault="00951E14" w:rsidP="004D412D">
            <w:pPr>
              <w:spacing w:after="0" w:line="240" w:lineRule="auto"/>
              <w:rPr>
                <w:rFonts w:cs="Times New Roman"/>
              </w:rPr>
            </w:pPr>
            <w:r>
              <w:rPr>
                <w:b/>
              </w:rPr>
              <w:t>Training grade/post</w:t>
            </w:r>
            <w:r>
              <w:t>: Associate Specialist</w:t>
            </w:r>
          </w:p>
        </w:tc>
      </w:tr>
      <w:tr w:rsidR="00951E14" w14:paraId="1AD65C69"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129785F9" w14:textId="77777777" w:rsidR="00951E14" w:rsidRDefault="00951E14" w:rsidP="004D412D">
            <w:pPr>
              <w:spacing w:after="0" w:line="240" w:lineRule="auto"/>
            </w:pPr>
            <w:r>
              <w:rPr>
                <w:b/>
              </w:rPr>
              <w:t>Institution</w:t>
            </w:r>
            <w:r>
              <w:t>:</w:t>
            </w:r>
          </w:p>
          <w:p w14:paraId="59FB5AC7" w14:textId="77777777" w:rsidR="00951E14" w:rsidRDefault="00951E14" w:rsidP="004D412D">
            <w:pPr>
              <w:spacing w:after="0" w:line="240" w:lineRule="auto"/>
              <w:rPr>
                <w:rFonts w:cs="Times New Roman"/>
              </w:rPr>
            </w:pPr>
            <w:r>
              <w:rPr>
                <w:rFonts w:cs="Times New Roman"/>
              </w:rPr>
              <w:t>Wansbeck General Hospital</w:t>
            </w:r>
          </w:p>
        </w:tc>
      </w:tr>
      <w:tr w:rsidR="00951E14" w14:paraId="36037CF8"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2CA3F300" w14:textId="77777777" w:rsidR="00951E14" w:rsidRDefault="00951E14" w:rsidP="004D412D">
            <w:pPr>
              <w:spacing w:after="0" w:line="240" w:lineRule="auto"/>
            </w:pPr>
            <w:r>
              <w:rPr>
                <w:b/>
              </w:rPr>
              <w:t>Title of Presentation</w:t>
            </w:r>
            <w:r>
              <w:t>:</w:t>
            </w:r>
          </w:p>
          <w:p w14:paraId="28AE0C16" w14:textId="77777777" w:rsidR="00951E14" w:rsidRDefault="00951E14" w:rsidP="004D412D">
            <w:pPr>
              <w:spacing w:after="0" w:line="240" w:lineRule="auto"/>
            </w:pPr>
            <w:r>
              <w:t>Prospective Audit of One Stop Urology Clinic</w:t>
            </w:r>
          </w:p>
          <w:p w14:paraId="38126D9A" w14:textId="77777777" w:rsidR="00951E14" w:rsidRDefault="00951E14" w:rsidP="004D412D">
            <w:pPr>
              <w:spacing w:after="0" w:line="240" w:lineRule="auto"/>
              <w:rPr>
                <w:rFonts w:cs="Times New Roman"/>
              </w:rPr>
            </w:pPr>
          </w:p>
        </w:tc>
      </w:tr>
      <w:tr w:rsidR="00951E14" w14:paraId="0EE51C59" w14:textId="77777777" w:rsidTr="00951E14">
        <w:tc>
          <w:tcPr>
            <w:tcW w:w="9016" w:type="dxa"/>
            <w:gridSpan w:val="2"/>
            <w:tcBorders>
              <w:top w:val="single" w:sz="4" w:space="0" w:color="auto"/>
              <w:left w:val="single" w:sz="4" w:space="0" w:color="auto"/>
              <w:bottom w:val="single" w:sz="4" w:space="0" w:color="auto"/>
              <w:right w:val="single" w:sz="4" w:space="0" w:color="auto"/>
            </w:tcBorders>
          </w:tcPr>
          <w:p w14:paraId="3EDE0FA2" w14:textId="77777777" w:rsidR="00951E14" w:rsidRDefault="00951E14" w:rsidP="004D412D">
            <w:pPr>
              <w:spacing w:after="0" w:line="240" w:lineRule="auto"/>
            </w:pPr>
            <w:r>
              <w:rPr>
                <w:b/>
              </w:rPr>
              <w:t>Authors</w:t>
            </w:r>
            <w:r>
              <w:t xml:space="preserve">:  </w:t>
            </w:r>
          </w:p>
          <w:p w14:paraId="680A9603" w14:textId="77777777" w:rsidR="00951E14" w:rsidRDefault="00951E14" w:rsidP="004D412D">
            <w:pPr>
              <w:spacing w:after="0" w:line="240" w:lineRule="auto"/>
            </w:pPr>
            <w:r>
              <w:t>K Kuruvilla Zachariah</w:t>
            </w:r>
          </w:p>
          <w:p w14:paraId="7929DAF6" w14:textId="77777777" w:rsidR="00951E14" w:rsidRDefault="00951E14" w:rsidP="004D412D">
            <w:pPr>
              <w:spacing w:after="0" w:line="240" w:lineRule="auto"/>
            </w:pPr>
            <w:r>
              <w:t>Chris Hall</w:t>
            </w:r>
          </w:p>
          <w:p w14:paraId="55C20275" w14:textId="77777777" w:rsidR="00951E14" w:rsidRDefault="00951E14" w:rsidP="004D412D">
            <w:pPr>
              <w:spacing w:after="0" w:line="240" w:lineRule="auto"/>
              <w:rPr>
                <w:rFonts w:cs="Times New Roman"/>
              </w:rPr>
            </w:pPr>
          </w:p>
        </w:tc>
      </w:tr>
      <w:tr w:rsidR="00951E14" w14:paraId="6EC7DA8A"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067D2DA5" w14:textId="77777777" w:rsidR="00951E14" w:rsidRDefault="00951E14" w:rsidP="004D412D">
            <w:pPr>
              <w:spacing w:after="0" w:line="240" w:lineRule="auto"/>
            </w:pPr>
            <w:r>
              <w:rPr>
                <w:b/>
              </w:rPr>
              <w:t>Aims</w:t>
            </w:r>
            <w:r>
              <w:t>:</w:t>
            </w:r>
          </w:p>
          <w:p w14:paraId="0B4CC5F9" w14:textId="77777777" w:rsidR="00951E14" w:rsidRDefault="00951E14" w:rsidP="004D412D">
            <w:pPr>
              <w:spacing w:after="0" w:line="240" w:lineRule="auto"/>
            </w:pPr>
            <w:r>
              <w:t>To assess outcomes of the clinic, improvements in patient journey, patient feedback, efficiency savings and identify improvements to make the clinic more efficient.</w:t>
            </w:r>
          </w:p>
          <w:p w14:paraId="1B538952" w14:textId="77777777" w:rsidR="00951E14" w:rsidRDefault="00951E14" w:rsidP="004D412D">
            <w:pPr>
              <w:spacing w:after="0" w:line="240" w:lineRule="auto"/>
              <w:rPr>
                <w:rFonts w:cs="Times New Roman"/>
              </w:rPr>
            </w:pPr>
          </w:p>
        </w:tc>
      </w:tr>
      <w:tr w:rsidR="00951E14" w14:paraId="7B30AB8C"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0417D27A" w14:textId="77777777" w:rsidR="00951E14" w:rsidRDefault="00951E14" w:rsidP="004D412D">
            <w:pPr>
              <w:spacing w:after="0" w:line="240" w:lineRule="auto"/>
            </w:pPr>
            <w:r>
              <w:rPr>
                <w:b/>
              </w:rPr>
              <w:t>Methods</w:t>
            </w:r>
            <w:r>
              <w:t>:</w:t>
            </w:r>
          </w:p>
          <w:p w14:paraId="20F24CFE" w14:textId="77777777" w:rsidR="00951E14" w:rsidRDefault="00951E14" w:rsidP="004D412D">
            <w:pPr>
              <w:spacing w:after="0" w:line="240" w:lineRule="auto"/>
            </w:pPr>
            <w:r>
              <w:t>Prospective collection of data and analysis, process mapping and patient feedback</w:t>
            </w:r>
          </w:p>
          <w:p w14:paraId="0A80685F" w14:textId="77777777" w:rsidR="00951E14" w:rsidRDefault="00951E14" w:rsidP="004D412D">
            <w:pPr>
              <w:spacing w:after="0" w:line="240" w:lineRule="auto"/>
              <w:rPr>
                <w:rFonts w:cs="Times New Roman"/>
              </w:rPr>
            </w:pPr>
          </w:p>
        </w:tc>
      </w:tr>
      <w:tr w:rsidR="00951E14" w14:paraId="550C36EC"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15320C0E" w14:textId="77777777" w:rsidR="00951E14" w:rsidRDefault="00951E14" w:rsidP="004D412D">
            <w:pPr>
              <w:spacing w:after="0" w:line="240" w:lineRule="auto"/>
            </w:pPr>
            <w:r>
              <w:rPr>
                <w:b/>
              </w:rPr>
              <w:t>Results</w:t>
            </w:r>
            <w:r>
              <w:t>:</w:t>
            </w:r>
          </w:p>
          <w:p w14:paraId="3C0521AB" w14:textId="77777777" w:rsidR="00951E14" w:rsidRDefault="00951E14" w:rsidP="004D412D">
            <w:pPr>
              <w:spacing w:after="0" w:line="240" w:lineRule="auto"/>
            </w:pPr>
            <w:r>
              <w:t xml:space="preserve">126 appointments / 118 patients over 6 months. 57 UTI and 61 LUTS patients; 74 males and 44 females. Mean age 65. </w:t>
            </w:r>
          </w:p>
          <w:p w14:paraId="2BE979E2" w14:textId="77777777" w:rsidR="00951E14" w:rsidRDefault="00951E14" w:rsidP="004D412D">
            <w:pPr>
              <w:spacing w:after="0" w:line="240" w:lineRule="auto"/>
            </w:pPr>
            <w:r>
              <w:t xml:space="preserve">51 flexible cystoscopies, 69 flow rates, 20 TRUS Volume scans and 49 residual scans done. 63% discharged; 90% had their decision made on the day. </w:t>
            </w:r>
          </w:p>
          <w:p w14:paraId="36F5A7FF" w14:textId="77777777" w:rsidR="00951E14" w:rsidRDefault="00951E14" w:rsidP="004D412D">
            <w:pPr>
              <w:spacing w:after="0" w:line="240" w:lineRule="auto"/>
            </w:pPr>
            <w:r>
              <w:t>8 patients required repeat appointment for flexible cystoscopy.  14 patients needed outpatient follow up. 15% booked for surgery. Process mapping showed appointments reduced from 5 to 1 and time to decision making reduced from over 7 months to 4 hours.</w:t>
            </w:r>
          </w:p>
          <w:p w14:paraId="093AB3C3" w14:textId="77777777" w:rsidR="00951E14" w:rsidRDefault="00951E14" w:rsidP="004D412D">
            <w:pPr>
              <w:spacing w:after="0" w:line="240" w:lineRule="auto"/>
            </w:pPr>
            <w:r>
              <w:t xml:space="preserve">Patient feedback showed 98% met all expectations and 100% will recommend the clinic to family and friends. </w:t>
            </w:r>
          </w:p>
          <w:p w14:paraId="2C0EF650" w14:textId="77777777" w:rsidR="00951E14" w:rsidRDefault="00951E14" w:rsidP="004D412D">
            <w:pPr>
              <w:spacing w:after="0" w:line="240" w:lineRule="auto"/>
              <w:rPr>
                <w:rFonts w:cs="Times New Roman"/>
              </w:rPr>
            </w:pPr>
          </w:p>
        </w:tc>
      </w:tr>
      <w:tr w:rsidR="00951E14" w14:paraId="63EB2740" w14:textId="77777777" w:rsidTr="00951E14">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50A3F019" w14:textId="77777777" w:rsidR="00951E14" w:rsidRDefault="00951E14" w:rsidP="004D412D">
            <w:pPr>
              <w:spacing w:after="0" w:line="240" w:lineRule="auto"/>
            </w:pPr>
            <w:r>
              <w:rPr>
                <w:b/>
              </w:rPr>
              <w:t>Conclusion</w:t>
            </w:r>
            <w:r>
              <w:t>:</w:t>
            </w:r>
          </w:p>
          <w:p w14:paraId="3C3ECC4B" w14:textId="77777777" w:rsidR="00951E14" w:rsidRDefault="00951E14" w:rsidP="004D412D">
            <w:pPr>
              <w:spacing w:after="0" w:line="240" w:lineRule="auto"/>
            </w:pPr>
            <w:r>
              <w:t>One stop Urology Clinic succeeded in achieving its aims by reducing the number of hospital appointments by 80% and time to decision making from over 7 months to only 4 hours. Travel and time costs reduced to patients with almost 100% complete patient satisfaction. Only 12% of patients needed clinic review. Actions to improve efficiency identified and instituted.</w:t>
            </w:r>
          </w:p>
          <w:p w14:paraId="50303196" w14:textId="77777777" w:rsidR="00951E14" w:rsidRDefault="00951E14" w:rsidP="004D412D">
            <w:pPr>
              <w:spacing w:after="0" w:line="240" w:lineRule="auto"/>
              <w:rPr>
                <w:rFonts w:cs="Times New Roman"/>
              </w:rPr>
            </w:pPr>
          </w:p>
        </w:tc>
      </w:tr>
    </w:tbl>
    <w:p w14:paraId="0EEF73D6" w14:textId="77777777" w:rsidR="00C41341" w:rsidRDefault="00C41341">
      <w:pPr>
        <w:spacing w:after="160" w:line="259" w:lineRule="auto"/>
        <w:rPr>
          <w:b/>
        </w:rPr>
      </w:pPr>
      <w:r>
        <w:rPr>
          <w:b/>
        </w:rPr>
        <w:br w:type="page"/>
      </w:r>
    </w:p>
    <w:p w14:paraId="1E79DDFC" w14:textId="774FF2E9" w:rsidR="00FD3E6E" w:rsidRPr="00AF00B7" w:rsidRDefault="00FD3E6E" w:rsidP="00FD3E6E">
      <w:pPr>
        <w:spacing w:after="0" w:line="240" w:lineRule="auto"/>
        <w:rPr>
          <w:rFonts w:ascii="Arial" w:hAnsi="Arial" w:cs="Arial"/>
          <w:b/>
          <w:sz w:val="24"/>
          <w:szCs w:val="24"/>
        </w:rPr>
      </w:pPr>
      <w:r w:rsidRPr="00AF00B7">
        <w:rPr>
          <w:rFonts w:ascii="Arial" w:hAnsi="Arial" w:cs="Arial"/>
          <w:b/>
          <w:sz w:val="24"/>
          <w:szCs w:val="24"/>
        </w:rPr>
        <w:lastRenderedPageBreak/>
        <w:t>Abstract 6</w:t>
      </w:r>
    </w:p>
    <w:p w14:paraId="07E3A274" w14:textId="77777777" w:rsidR="00FD3E6E" w:rsidRPr="00AF00B7" w:rsidRDefault="00FD3E6E" w:rsidP="00FD3E6E">
      <w:pPr>
        <w:spacing w:after="0" w:line="240" w:lineRule="auto"/>
        <w:rPr>
          <w:rFonts w:ascii="Arial" w:hAnsi="Arial" w:cs="Arial"/>
          <w:b/>
        </w:rPr>
      </w:pPr>
    </w:p>
    <w:p w14:paraId="17DF6334" w14:textId="77777777" w:rsidR="00FD3E6E" w:rsidRPr="00AF00B7" w:rsidRDefault="00FD3E6E" w:rsidP="00FD3E6E">
      <w:pPr>
        <w:spacing w:after="0" w:line="240" w:lineRule="auto"/>
        <w:rPr>
          <w:rFonts w:ascii="Arial" w:hAnsi="Arial" w:cs="Arial"/>
          <w:b/>
        </w:rPr>
      </w:pPr>
    </w:p>
    <w:tbl>
      <w:tblPr>
        <w:tblW w:w="8545" w:type="dxa"/>
        <w:tblLook w:val="04A0" w:firstRow="1" w:lastRow="0" w:firstColumn="1" w:lastColumn="0" w:noHBand="0" w:noVBand="1"/>
      </w:tblPr>
      <w:tblGrid>
        <w:gridCol w:w="5178"/>
        <w:gridCol w:w="3367"/>
      </w:tblGrid>
      <w:tr w:rsidR="00951E14" w14:paraId="13CA8592" w14:textId="77777777" w:rsidTr="004D412D">
        <w:tc>
          <w:tcPr>
            <w:tcW w:w="5178" w:type="dxa"/>
            <w:tcBorders>
              <w:top w:val="single" w:sz="4" w:space="0" w:color="000000"/>
              <w:left w:val="single" w:sz="4" w:space="0" w:color="000000"/>
              <w:bottom w:val="single" w:sz="4" w:space="0" w:color="000000"/>
              <w:right w:val="single" w:sz="4" w:space="0" w:color="000000"/>
            </w:tcBorders>
          </w:tcPr>
          <w:p w14:paraId="0D2A1B33" w14:textId="77777777" w:rsidR="00951E14" w:rsidRDefault="00951E14" w:rsidP="004D412D">
            <w:pPr>
              <w:spacing w:after="0" w:line="240" w:lineRule="auto"/>
              <w:rPr>
                <w:rFonts w:ascii="Basic Roman" w:eastAsia="Basic Roman" w:hAnsi="Basic Roman" w:cs="Basic Roman"/>
              </w:rPr>
            </w:pPr>
            <w:r>
              <w:rPr>
                <w:rFonts w:ascii="Basic Roman" w:eastAsia="Basic Roman" w:hAnsi="Basic Roman" w:cs="Basic Roman"/>
                <w:b/>
              </w:rPr>
              <w:t xml:space="preserve">Name of </w:t>
            </w:r>
            <w:proofErr w:type="spellStart"/>
            <w:proofErr w:type="gramStart"/>
            <w:r>
              <w:rPr>
                <w:rFonts w:ascii="Basic Roman" w:eastAsia="Basic Roman" w:hAnsi="Basic Roman" w:cs="Basic Roman"/>
                <w:b/>
              </w:rPr>
              <w:t>Presenter</w:t>
            </w:r>
            <w:r>
              <w:rPr>
                <w:rFonts w:ascii="Basic Roman" w:eastAsia="Basic Roman" w:hAnsi="Basic Roman" w:cs="Basic Roman"/>
              </w:rPr>
              <w:t>:Ricardo</w:t>
            </w:r>
            <w:proofErr w:type="spellEnd"/>
            <w:proofErr w:type="gramEnd"/>
            <w:r>
              <w:rPr>
                <w:rFonts w:ascii="Basic Roman" w:eastAsia="Basic Roman" w:hAnsi="Basic Roman" w:cs="Basic Roman"/>
              </w:rPr>
              <w:t xml:space="preserve"> Fernandes</w:t>
            </w:r>
          </w:p>
          <w:p w14:paraId="23622C8D" w14:textId="77777777" w:rsidR="00951E14" w:rsidRDefault="00951E14" w:rsidP="004D412D">
            <w:pPr>
              <w:spacing w:after="0" w:line="240" w:lineRule="auto"/>
              <w:rPr>
                <w:rFonts w:ascii="Basic Roman" w:eastAsia="Basic Roman" w:hAnsi="Basic Roman" w:cs="Basic Roman"/>
              </w:rPr>
            </w:pPr>
          </w:p>
        </w:tc>
        <w:tc>
          <w:tcPr>
            <w:tcW w:w="3367" w:type="dxa"/>
            <w:tcBorders>
              <w:top w:val="single" w:sz="4" w:space="0" w:color="000000"/>
              <w:left w:val="single" w:sz="4" w:space="0" w:color="000000"/>
              <w:bottom w:val="single" w:sz="4" w:space="0" w:color="000000"/>
              <w:right w:val="single" w:sz="4" w:space="0" w:color="000000"/>
            </w:tcBorders>
          </w:tcPr>
          <w:p w14:paraId="0853D978" w14:textId="77777777" w:rsidR="00951E14" w:rsidRDefault="00951E14" w:rsidP="004D412D">
            <w:pPr>
              <w:spacing w:after="0" w:line="240" w:lineRule="auto"/>
              <w:rPr>
                <w:rFonts w:ascii="Basic Roman" w:eastAsia="Basic Roman" w:hAnsi="Basic Roman" w:cs="Basic Roman"/>
              </w:rPr>
            </w:pPr>
            <w:r>
              <w:rPr>
                <w:rFonts w:ascii="Basic Roman" w:eastAsia="Basic Roman" w:hAnsi="Basic Roman" w:cs="Basic Roman"/>
                <w:b/>
              </w:rPr>
              <w:t>Training grade/post</w:t>
            </w:r>
            <w:r>
              <w:rPr>
                <w:rFonts w:ascii="Basic Roman" w:eastAsia="Basic Roman" w:hAnsi="Basic Roman" w:cs="Basic Roman"/>
              </w:rPr>
              <w:t xml:space="preserve">: Trust grade </w:t>
            </w:r>
          </w:p>
        </w:tc>
      </w:tr>
      <w:tr w:rsidR="00951E14" w14:paraId="039E32C7" w14:textId="77777777" w:rsidTr="004D412D">
        <w:tc>
          <w:tcPr>
            <w:tcW w:w="8545" w:type="dxa"/>
            <w:gridSpan w:val="2"/>
            <w:tcBorders>
              <w:top w:val="single" w:sz="4" w:space="0" w:color="000000"/>
              <w:left w:val="single" w:sz="4" w:space="0" w:color="000000"/>
              <w:bottom w:val="single" w:sz="4" w:space="0" w:color="000000"/>
              <w:right w:val="single" w:sz="4" w:space="0" w:color="000000"/>
            </w:tcBorders>
          </w:tcPr>
          <w:p w14:paraId="5B72F59F" w14:textId="77777777" w:rsidR="00951E14" w:rsidRDefault="00951E14" w:rsidP="004D412D">
            <w:pPr>
              <w:spacing w:after="0" w:line="240" w:lineRule="auto"/>
              <w:rPr>
                <w:rFonts w:ascii="Basic Roman" w:eastAsia="Basic Roman" w:hAnsi="Basic Roman" w:cs="Basic Roman"/>
              </w:rPr>
            </w:pPr>
            <w:r>
              <w:rPr>
                <w:rFonts w:ascii="Basic Roman" w:eastAsia="Basic Roman" w:hAnsi="Basic Roman" w:cs="Basic Roman"/>
                <w:b/>
              </w:rPr>
              <w:t>Institution</w:t>
            </w:r>
            <w:r>
              <w:rPr>
                <w:rFonts w:ascii="Basic Roman" w:eastAsia="Basic Roman" w:hAnsi="Basic Roman" w:cs="Basic Roman"/>
              </w:rPr>
              <w:t>: South Tyneside and Sunderland NHS Foundation Trust</w:t>
            </w:r>
          </w:p>
          <w:p w14:paraId="6445CED1" w14:textId="77777777" w:rsidR="00951E14" w:rsidRDefault="00951E14" w:rsidP="004D412D">
            <w:pPr>
              <w:spacing w:after="0" w:line="240" w:lineRule="auto"/>
              <w:rPr>
                <w:rFonts w:ascii="Basic Roman" w:eastAsia="Basic Roman" w:hAnsi="Basic Roman" w:cs="Basic Roman"/>
              </w:rPr>
            </w:pPr>
          </w:p>
          <w:p w14:paraId="651C2401" w14:textId="77777777" w:rsidR="00951E14" w:rsidRDefault="00951E14" w:rsidP="004D412D">
            <w:pPr>
              <w:spacing w:after="0" w:line="240" w:lineRule="auto"/>
              <w:rPr>
                <w:rFonts w:ascii="Basic Roman" w:eastAsia="Basic Roman" w:hAnsi="Basic Roman" w:cs="Basic Roman"/>
              </w:rPr>
            </w:pPr>
          </w:p>
        </w:tc>
      </w:tr>
      <w:tr w:rsidR="00951E14" w14:paraId="40881358" w14:textId="77777777" w:rsidTr="004D412D">
        <w:tc>
          <w:tcPr>
            <w:tcW w:w="8545" w:type="dxa"/>
            <w:gridSpan w:val="2"/>
            <w:tcBorders>
              <w:top w:val="single" w:sz="4" w:space="0" w:color="000000"/>
              <w:left w:val="single" w:sz="4" w:space="0" w:color="000000"/>
              <w:bottom w:val="single" w:sz="4" w:space="0" w:color="000000"/>
              <w:right w:val="single" w:sz="4" w:space="0" w:color="000000"/>
            </w:tcBorders>
          </w:tcPr>
          <w:p w14:paraId="670EABCC" w14:textId="77777777" w:rsidR="00951E14" w:rsidRDefault="00951E14" w:rsidP="004D412D">
            <w:pPr>
              <w:spacing w:after="0" w:line="240" w:lineRule="auto"/>
              <w:rPr>
                <w:rFonts w:ascii="Basic Roman" w:eastAsia="Basic Roman" w:hAnsi="Basic Roman" w:cs="Basic Roman"/>
              </w:rPr>
            </w:pPr>
            <w:r>
              <w:rPr>
                <w:rFonts w:ascii="Basic Roman" w:eastAsia="Basic Roman" w:hAnsi="Basic Roman" w:cs="Basic Roman"/>
                <w:b/>
              </w:rPr>
              <w:t>Title of Presentation</w:t>
            </w:r>
            <w:r>
              <w:rPr>
                <w:rFonts w:ascii="Basic Roman" w:eastAsia="Basic Roman" w:hAnsi="Basic Roman" w:cs="Basic Roman"/>
              </w:rPr>
              <w:t>:</w:t>
            </w:r>
          </w:p>
          <w:p w14:paraId="38E19118" w14:textId="77777777" w:rsidR="00951E14" w:rsidRDefault="00951E14" w:rsidP="004D412D">
            <w:pPr>
              <w:spacing w:after="0" w:line="240" w:lineRule="auto"/>
              <w:rPr>
                <w:rFonts w:ascii="Basic Roman" w:eastAsia="Basic Roman" w:hAnsi="Basic Roman" w:cs="Basic Roman"/>
                <w:color w:val="333333"/>
                <w:kern w:val="1"/>
                <w:lang w:eastAsia="zh-CN"/>
              </w:rPr>
            </w:pPr>
            <w:r>
              <w:rPr>
                <w:rFonts w:ascii="Basic Roman" w:eastAsia="Basic Roman" w:hAnsi="Basic Roman" w:cs="Basic Roman"/>
                <w:color w:val="333333"/>
                <w:kern w:val="1"/>
                <w:lang w:eastAsia="zh-CN"/>
              </w:rPr>
              <w:t>Are we compliant in staging penile cancer patients: a regional analysis to adjuncts in staging penile cancer</w:t>
            </w:r>
          </w:p>
        </w:tc>
      </w:tr>
      <w:tr w:rsidR="00951E14" w14:paraId="7D1F7A4B" w14:textId="77777777" w:rsidTr="004D412D">
        <w:tc>
          <w:tcPr>
            <w:tcW w:w="8545" w:type="dxa"/>
            <w:gridSpan w:val="2"/>
            <w:tcBorders>
              <w:top w:val="single" w:sz="4" w:space="0" w:color="000000"/>
              <w:left w:val="single" w:sz="4" w:space="0" w:color="000000"/>
              <w:bottom w:val="single" w:sz="4" w:space="0" w:color="000000"/>
              <w:right w:val="single" w:sz="4" w:space="0" w:color="000000"/>
            </w:tcBorders>
          </w:tcPr>
          <w:p w14:paraId="3F5AF7B4" w14:textId="77777777" w:rsidR="00951E14" w:rsidRDefault="00951E14" w:rsidP="004D412D">
            <w:pPr>
              <w:spacing w:after="0" w:line="240" w:lineRule="auto"/>
              <w:rPr>
                <w:rFonts w:ascii="Basic Roman" w:eastAsia="Basic Roman" w:hAnsi="Basic Roman" w:cs="Basic Roman"/>
              </w:rPr>
            </w:pPr>
            <w:proofErr w:type="spellStart"/>
            <w:proofErr w:type="gramStart"/>
            <w:r>
              <w:rPr>
                <w:rFonts w:ascii="Basic Roman" w:eastAsia="Basic Roman" w:hAnsi="Basic Roman" w:cs="Basic Roman"/>
                <w:b/>
              </w:rPr>
              <w:t>Authors</w:t>
            </w:r>
            <w:r>
              <w:rPr>
                <w:rFonts w:ascii="Basic Roman" w:eastAsia="Basic Roman" w:hAnsi="Basic Roman" w:cs="Basic Roman"/>
              </w:rPr>
              <w:t>:R</w:t>
            </w:r>
            <w:proofErr w:type="spellEnd"/>
            <w:r>
              <w:rPr>
                <w:rFonts w:ascii="Basic Roman" w:eastAsia="Basic Roman" w:hAnsi="Basic Roman" w:cs="Basic Roman"/>
              </w:rPr>
              <w:t>.</w:t>
            </w:r>
            <w:proofErr w:type="gramEnd"/>
            <w:r>
              <w:rPr>
                <w:rFonts w:ascii="Basic Roman" w:eastAsia="Basic Roman" w:hAnsi="Basic Roman" w:cs="Basic Roman"/>
              </w:rPr>
              <w:t xml:space="preserve"> Fernandes, M. Mubarak, L. McGuinness, P. Keegan</w:t>
            </w:r>
          </w:p>
          <w:p w14:paraId="1FDD7AFA" w14:textId="77777777" w:rsidR="00951E14" w:rsidRDefault="00951E14" w:rsidP="004D412D">
            <w:pPr>
              <w:spacing w:after="0" w:line="240" w:lineRule="auto"/>
              <w:rPr>
                <w:rFonts w:ascii="Basic Roman" w:eastAsia="Basic Roman" w:hAnsi="Basic Roman" w:cs="Basic Roman"/>
              </w:rPr>
            </w:pPr>
          </w:p>
          <w:p w14:paraId="0EC38058" w14:textId="77777777" w:rsidR="00951E14" w:rsidRDefault="00951E14" w:rsidP="004D412D">
            <w:pPr>
              <w:spacing w:after="0" w:line="240" w:lineRule="auto"/>
              <w:rPr>
                <w:rFonts w:ascii="Basic Roman" w:eastAsia="Basic Roman" w:hAnsi="Basic Roman" w:cs="Basic Roman"/>
              </w:rPr>
            </w:pPr>
          </w:p>
        </w:tc>
      </w:tr>
      <w:tr w:rsidR="00951E14" w14:paraId="0A5FAA8B" w14:textId="77777777" w:rsidTr="004D412D">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14:paraId="3BA396A4" w14:textId="77777777" w:rsidR="00951E14" w:rsidRDefault="00951E14" w:rsidP="004D412D">
            <w:pPr>
              <w:spacing w:after="0" w:line="240" w:lineRule="auto"/>
              <w:rPr>
                <w:rFonts w:ascii="Basic Roman" w:eastAsia="Basic Roman" w:hAnsi="Basic Roman" w:cs="Basic Roman"/>
                <w:color w:val="000000"/>
              </w:rPr>
            </w:pPr>
            <w:r>
              <w:rPr>
                <w:rFonts w:ascii="Basic Roman" w:eastAsia="Basic Roman" w:hAnsi="Basic Roman" w:cs="Basic Roman"/>
                <w:b/>
                <w:color w:val="000000"/>
              </w:rPr>
              <w:t>Aims</w:t>
            </w:r>
            <w:r>
              <w:rPr>
                <w:rFonts w:ascii="Basic Roman" w:eastAsia="Basic Roman" w:hAnsi="Basic Roman" w:cs="Basic Roman"/>
                <w:color w:val="000000"/>
              </w:rPr>
              <w:t>: To assess the effectiveness of combining Ultrasound (US) and Fine Needle Aspiration Cytology (FNAC) for accurate nodal staging (cN0) and to determine the incidence of false negatives (FN) and recurrences.</w:t>
            </w:r>
          </w:p>
          <w:p w14:paraId="0DD6F41D" w14:textId="77777777" w:rsidR="00951E14" w:rsidRDefault="00951E14" w:rsidP="004D412D">
            <w:pPr>
              <w:spacing w:after="0" w:line="240" w:lineRule="auto"/>
              <w:rPr>
                <w:rFonts w:ascii="Basic Roman" w:eastAsia="Basic Roman" w:hAnsi="Basic Roman" w:cs="Basic Roman"/>
                <w:color w:val="000000"/>
              </w:rPr>
            </w:pPr>
          </w:p>
        </w:tc>
      </w:tr>
      <w:tr w:rsidR="00951E14" w14:paraId="7E46CC35" w14:textId="77777777" w:rsidTr="004D412D">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14:paraId="131E5E35" w14:textId="77777777" w:rsidR="00951E14" w:rsidRDefault="00951E14" w:rsidP="004D412D">
            <w:pPr>
              <w:spacing w:after="0" w:line="240" w:lineRule="auto"/>
              <w:rPr>
                <w:rFonts w:ascii="Basic Roman" w:eastAsia="Basic Roman" w:hAnsi="Basic Roman" w:cs="Basic Roman"/>
                <w:color w:val="000000"/>
                <w:kern w:val="1"/>
                <w:lang w:eastAsia="zh-CN"/>
              </w:rPr>
            </w:pPr>
            <w:r>
              <w:rPr>
                <w:rFonts w:ascii="Basic Roman" w:eastAsia="Basic Roman" w:hAnsi="Basic Roman" w:cs="Basic Roman"/>
                <w:b/>
                <w:color w:val="000000"/>
              </w:rPr>
              <w:t>Methods</w:t>
            </w:r>
            <w:r>
              <w:rPr>
                <w:rFonts w:ascii="Basic Roman" w:eastAsia="Basic Roman" w:hAnsi="Basic Roman" w:cs="Basic Roman"/>
                <w:color w:val="000000"/>
              </w:rPr>
              <w:t>:</w:t>
            </w:r>
            <w:r>
              <w:rPr>
                <w:rFonts w:ascii="Basic Roman" w:eastAsia="Basic Roman" w:hAnsi="Basic Roman" w:cs="Basic Roman"/>
                <w:color w:val="000000"/>
                <w:kern w:val="1"/>
                <w:lang w:eastAsia="zh-CN"/>
              </w:rPr>
              <w:t xml:space="preserve"> A retrospective analysis was conducted using electronic datasets of patients who underwent US plus FNAC prior to Dynamic Sentinel Lymph Node Biopsies (DSNB) at South Tyneside &amp; Sunderland NHS Foundation Trust. Patients with clinically positive groin nodes (cN1) were excluded from the study. Key outcomes included FNAC results, DSNB histology, false negative rates (FNR), and recurrence data. Statistical analysis was performed using SPSS version 29, with a p-value of &lt; 0.05 considered significant.</w:t>
            </w:r>
          </w:p>
          <w:p w14:paraId="0F10C437" w14:textId="77777777" w:rsidR="00951E14" w:rsidRDefault="00951E14" w:rsidP="004D412D">
            <w:pPr>
              <w:spacing w:after="0" w:line="240" w:lineRule="auto"/>
              <w:rPr>
                <w:rFonts w:ascii="Basic Roman" w:eastAsia="Basic Roman" w:hAnsi="Basic Roman" w:cs="Basic Roman"/>
                <w:color w:val="000000"/>
                <w:kern w:val="1"/>
                <w:lang w:eastAsia="zh-CN"/>
              </w:rPr>
            </w:pPr>
          </w:p>
          <w:p w14:paraId="114424DC" w14:textId="77777777" w:rsidR="00951E14" w:rsidRDefault="00951E14" w:rsidP="004D412D">
            <w:pPr>
              <w:spacing w:after="0" w:line="240" w:lineRule="auto"/>
              <w:rPr>
                <w:rFonts w:ascii="Basic Roman" w:eastAsia="Basic Roman" w:hAnsi="Basic Roman" w:cs="Basic Roman"/>
                <w:color w:val="000000"/>
                <w:kern w:val="1"/>
                <w:lang w:eastAsia="zh-CN"/>
              </w:rPr>
            </w:pPr>
          </w:p>
        </w:tc>
      </w:tr>
      <w:tr w:rsidR="00951E14" w14:paraId="3A91C0D5" w14:textId="77777777" w:rsidTr="004D412D">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14:paraId="7D15079C" w14:textId="77777777" w:rsidR="00951E14" w:rsidRDefault="00951E14" w:rsidP="004D412D">
            <w:pPr>
              <w:spacing w:after="0" w:line="240" w:lineRule="auto"/>
              <w:rPr>
                <w:rFonts w:ascii="Basic Roman" w:eastAsia="Basic Roman" w:hAnsi="Basic Roman" w:cs="Basic Roman"/>
                <w:color w:val="000000"/>
                <w:kern w:val="1"/>
                <w:lang w:eastAsia="zh-CN"/>
              </w:rPr>
            </w:pPr>
            <w:r>
              <w:rPr>
                <w:rFonts w:ascii="Basic Roman" w:eastAsia="Basic Roman" w:hAnsi="Basic Roman" w:cs="Basic Roman"/>
                <w:b/>
                <w:color w:val="000000"/>
              </w:rPr>
              <w:t>Results</w:t>
            </w:r>
            <w:r>
              <w:rPr>
                <w:rFonts w:ascii="Basic Roman" w:eastAsia="Basic Roman" w:hAnsi="Basic Roman" w:cs="Basic Roman"/>
                <w:color w:val="000000"/>
              </w:rPr>
              <w:t xml:space="preserve">: </w:t>
            </w:r>
            <w:r>
              <w:rPr>
                <w:rFonts w:ascii="Basic Roman" w:eastAsia="Basic Roman" w:hAnsi="Basic Roman" w:cs="Basic Roman"/>
                <w:color w:val="000000"/>
                <w:kern w:val="1"/>
                <w:lang w:eastAsia="zh-CN"/>
              </w:rPr>
              <w:t xml:space="preserve">Between May 2016 and November 2023, 250 DSNB procedures were performed on 142 patients. The majority of groin biopsy </w:t>
            </w:r>
            <w:proofErr w:type="spellStart"/>
            <w:r>
              <w:rPr>
                <w:rFonts w:ascii="Basic Roman" w:eastAsia="Basic Roman" w:hAnsi="Basic Roman" w:cs="Basic Roman"/>
                <w:color w:val="000000"/>
                <w:kern w:val="1"/>
                <w:lang w:eastAsia="zh-CN"/>
              </w:rPr>
              <w:t>histologies</w:t>
            </w:r>
            <w:proofErr w:type="spellEnd"/>
            <w:r>
              <w:rPr>
                <w:rFonts w:ascii="Basic Roman" w:eastAsia="Basic Roman" w:hAnsi="Basic Roman" w:cs="Basic Roman"/>
                <w:color w:val="000000"/>
                <w:kern w:val="1"/>
                <w:lang w:eastAsia="zh-CN"/>
              </w:rPr>
              <w:t xml:space="preserve"> were negative (pN0) (n = 206), yielding a false negative rate of 2.9% (n = 6). US scans were conducted on 210 groins, and 63 of these underwent FNAC. Among those, 7 FNACs were classified as C4-C5 cytology, with 2 later confirmed as false negatives. In addition, 4 patients who had US without FNAC were subsequently found to have false negatives. All patients were followed up clinically, with false negatives identified either through clinical examination or cross-sectional imaging, with an equal distribution between the two methods.</w:t>
            </w:r>
          </w:p>
          <w:p w14:paraId="2AD1DD57" w14:textId="77777777" w:rsidR="00951E14" w:rsidRDefault="00951E14" w:rsidP="004D412D">
            <w:pPr>
              <w:spacing w:after="0" w:line="240" w:lineRule="auto"/>
              <w:rPr>
                <w:rFonts w:ascii="Basic Roman" w:eastAsia="Basic Roman" w:hAnsi="Basic Roman" w:cs="Basic Roman"/>
                <w:color w:val="000000"/>
                <w:kern w:val="1"/>
                <w:lang w:eastAsia="zh-CN"/>
              </w:rPr>
            </w:pPr>
          </w:p>
          <w:p w14:paraId="50251B36" w14:textId="77777777" w:rsidR="00951E14" w:rsidRDefault="00951E14" w:rsidP="004D412D">
            <w:pPr>
              <w:spacing w:after="0" w:line="240" w:lineRule="auto"/>
              <w:rPr>
                <w:rFonts w:ascii="Basic Roman" w:eastAsia="Basic Roman" w:hAnsi="Basic Roman" w:cs="Basic Roman"/>
                <w:color w:val="000000"/>
                <w:kern w:val="1"/>
                <w:lang w:eastAsia="zh-CN"/>
              </w:rPr>
            </w:pPr>
          </w:p>
        </w:tc>
      </w:tr>
      <w:tr w:rsidR="00951E14" w14:paraId="7805B622" w14:textId="77777777" w:rsidTr="004D412D">
        <w:tc>
          <w:tcPr>
            <w:tcW w:w="8545" w:type="dxa"/>
            <w:gridSpan w:val="2"/>
            <w:tcBorders>
              <w:top w:val="single" w:sz="4" w:space="0" w:color="000000"/>
              <w:left w:val="single" w:sz="4" w:space="0" w:color="000000"/>
              <w:bottom w:val="single" w:sz="4" w:space="0" w:color="000000"/>
              <w:right w:val="single" w:sz="4" w:space="0" w:color="000000"/>
            </w:tcBorders>
            <w:shd w:val="solid" w:color="D9D9D9" w:fill="auto"/>
          </w:tcPr>
          <w:p w14:paraId="049F7988" w14:textId="77777777" w:rsidR="00951E14" w:rsidRDefault="00951E14" w:rsidP="004D412D">
            <w:pPr>
              <w:spacing w:after="0" w:line="240" w:lineRule="auto"/>
              <w:rPr>
                <w:rFonts w:ascii="Basic Roman" w:eastAsia="Basic Roman" w:hAnsi="Basic Roman" w:cs="Basic Roman"/>
                <w:color w:val="000000"/>
                <w:kern w:val="1"/>
                <w:lang w:eastAsia="zh-CN"/>
              </w:rPr>
            </w:pPr>
            <w:r>
              <w:rPr>
                <w:rFonts w:ascii="Basic Roman" w:eastAsia="Basic Roman" w:hAnsi="Basic Roman" w:cs="Basic Roman"/>
                <w:b/>
                <w:color w:val="000000"/>
              </w:rPr>
              <w:t>Conclusion</w:t>
            </w:r>
            <w:r>
              <w:rPr>
                <w:rFonts w:ascii="Basic Roman" w:eastAsia="Basic Roman" w:hAnsi="Basic Roman" w:cs="Basic Roman"/>
                <w:color w:val="000000"/>
              </w:rPr>
              <w:t xml:space="preserve">: </w:t>
            </w:r>
            <w:r>
              <w:rPr>
                <w:rFonts w:ascii="Basic Roman" w:eastAsia="Basic Roman" w:hAnsi="Basic Roman" w:cs="Basic Roman"/>
                <w:color w:val="000000"/>
                <w:kern w:val="1"/>
                <w:lang w:eastAsia="zh-CN"/>
              </w:rPr>
              <w:t>Our centre demonstrates a lower false negative rate compared to reported figures in the literature. The integration of US with FNAC prior to DSNB improves staging accuracy by identifying additional patients at risk, thereby reducing the incidence of false negatives.</w:t>
            </w:r>
          </w:p>
          <w:p w14:paraId="75061B30" w14:textId="77777777" w:rsidR="00951E14" w:rsidRDefault="00951E14" w:rsidP="004D412D">
            <w:pPr>
              <w:spacing w:after="0" w:line="240" w:lineRule="auto"/>
              <w:rPr>
                <w:rFonts w:ascii="Basic Roman" w:eastAsia="Basic Roman" w:hAnsi="Basic Roman" w:cs="Basic Roman"/>
                <w:color w:val="000000"/>
                <w:kern w:val="1"/>
                <w:lang w:eastAsia="zh-CN"/>
              </w:rPr>
            </w:pPr>
          </w:p>
          <w:p w14:paraId="064DF6E7" w14:textId="77777777" w:rsidR="00951E14" w:rsidRDefault="00951E14" w:rsidP="004D412D">
            <w:pPr>
              <w:spacing w:after="0" w:line="240" w:lineRule="auto"/>
              <w:rPr>
                <w:rFonts w:ascii="Basic Roman" w:eastAsia="Basic Roman" w:hAnsi="Basic Roman" w:cs="Basic Roman"/>
                <w:color w:val="000000"/>
                <w:kern w:val="1"/>
                <w:lang w:eastAsia="zh-CN"/>
              </w:rPr>
            </w:pPr>
          </w:p>
        </w:tc>
      </w:tr>
    </w:tbl>
    <w:p w14:paraId="21585B90" w14:textId="22369EF6" w:rsidR="00C41341" w:rsidRDefault="00C41341">
      <w:pPr>
        <w:spacing w:after="160" w:line="259" w:lineRule="auto"/>
        <w:rPr>
          <w:b/>
        </w:rPr>
      </w:pPr>
      <w:r>
        <w:rPr>
          <w:b/>
        </w:rPr>
        <w:br w:type="page"/>
      </w:r>
    </w:p>
    <w:p w14:paraId="200845D0" w14:textId="48C13AC6" w:rsidR="00FD3E6E" w:rsidRPr="00AF00B7" w:rsidRDefault="00FD3E6E" w:rsidP="00AF00B7">
      <w:pPr>
        <w:spacing w:after="0" w:line="240" w:lineRule="auto"/>
        <w:rPr>
          <w:rFonts w:ascii="Arial" w:hAnsi="Arial" w:cs="Arial"/>
          <w:b/>
          <w:sz w:val="24"/>
          <w:szCs w:val="24"/>
        </w:rPr>
      </w:pPr>
      <w:r w:rsidRPr="00AF00B7">
        <w:rPr>
          <w:rFonts w:ascii="Arial" w:hAnsi="Arial" w:cs="Arial"/>
          <w:b/>
          <w:sz w:val="24"/>
          <w:szCs w:val="24"/>
        </w:rPr>
        <w:lastRenderedPageBreak/>
        <w:t>Abstract 7</w:t>
      </w:r>
    </w:p>
    <w:p w14:paraId="2FB6B5DC" w14:textId="6C06AE14" w:rsidR="00FD3E6E" w:rsidRDefault="00FD3E6E" w:rsidP="00FD3E6E">
      <w:pPr>
        <w:spacing w:after="0" w:line="240" w:lineRule="auto"/>
        <w:rPr>
          <w:b/>
        </w:rPr>
      </w:pPr>
    </w:p>
    <w:p w14:paraId="57511699" w14:textId="77777777" w:rsidR="00B1672D" w:rsidRPr="00FD3E6E" w:rsidRDefault="00B1672D" w:rsidP="00FD3E6E">
      <w:pPr>
        <w:spacing w:after="0" w:line="240" w:lineRule="auto"/>
        <w:rPr>
          <w:b/>
        </w:rPr>
      </w:pPr>
    </w:p>
    <w:tbl>
      <w:tblPr>
        <w:tblW w:w="0" w:type="auto"/>
        <w:tblInd w:w="279" w:type="dxa"/>
        <w:tblCellMar>
          <w:left w:w="10" w:type="dxa"/>
          <w:right w:w="10" w:type="dxa"/>
        </w:tblCellMar>
        <w:tblLook w:val="0000" w:firstRow="0" w:lastRow="0" w:firstColumn="0" w:lastColumn="0" w:noHBand="0" w:noVBand="0"/>
      </w:tblPr>
      <w:tblGrid>
        <w:gridCol w:w="6022"/>
        <w:gridCol w:w="3900"/>
      </w:tblGrid>
      <w:tr w:rsidR="00951E14" w:rsidRPr="00EC2E3B" w14:paraId="6A7F80FE" w14:textId="77777777" w:rsidTr="00951E14">
        <w:tc>
          <w:tcPr>
            <w:tcW w:w="60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46D48" w14:textId="77777777" w:rsidR="00951E14" w:rsidRPr="00951E14" w:rsidRDefault="00951E14" w:rsidP="004D412D">
            <w:pPr>
              <w:spacing w:after="0" w:line="240" w:lineRule="auto"/>
              <w:rPr>
                <w:rFonts w:ascii="Arial" w:hAnsi="Arial" w:cs="Arial"/>
                <w:sz w:val="24"/>
                <w:szCs w:val="24"/>
              </w:rPr>
            </w:pPr>
            <w:r w:rsidRPr="00951E14">
              <w:rPr>
                <w:rFonts w:ascii="Arial" w:hAnsi="Arial" w:cs="Arial"/>
                <w:b/>
                <w:sz w:val="24"/>
                <w:szCs w:val="24"/>
              </w:rPr>
              <w:t>Name of Presenter</w:t>
            </w:r>
            <w:r w:rsidRPr="00951E14">
              <w:rPr>
                <w:rFonts w:ascii="Arial" w:hAnsi="Arial" w:cs="Arial"/>
                <w:sz w:val="24"/>
                <w:szCs w:val="24"/>
              </w:rPr>
              <w:t>:</w:t>
            </w:r>
          </w:p>
          <w:p w14:paraId="7C014A2E" w14:textId="77777777" w:rsidR="00951E14" w:rsidRPr="00951E14" w:rsidRDefault="00951E14" w:rsidP="004D412D">
            <w:pPr>
              <w:spacing w:after="0" w:line="240" w:lineRule="auto"/>
              <w:rPr>
                <w:rFonts w:ascii="Arial" w:hAnsi="Arial" w:cs="Arial"/>
                <w:sz w:val="24"/>
                <w:szCs w:val="24"/>
              </w:rPr>
            </w:pPr>
            <w:r w:rsidRPr="00951E14">
              <w:rPr>
                <w:rFonts w:ascii="Arial" w:hAnsi="Arial" w:cs="Arial"/>
                <w:sz w:val="24"/>
                <w:szCs w:val="24"/>
              </w:rPr>
              <w:t>Stefanie Croghan</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7BD8C" w14:textId="77777777" w:rsidR="00951E14" w:rsidRPr="00951E14" w:rsidRDefault="00951E14" w:rsidP="004D412D">
            <w:pPr>
              <w:spacing w:after="0" w:line="240" w:lineRule="auto"/>
              <w:rPr>
                <w:rFonts w:ascii="Arial" w:hAnsi="Arial" w:cs="Arial"/>
                <w:sz w:val="24"/>
                <w:szCs w:val="24"/>
              </w:rPr>
            </w:pPr>
            <w:r w:rsidRPr="00951E14">
              <w:rPr>
                <w:rFonts w:ascii="Arial" w:hAnsi="Arial" w:cs="Arial"/>
                <w:b/>
                <w:sz w:val="24"/>
                <w:szCs w:val="24"/>
              </w:rPr>
              <w:t>Training grade/post</w:t>
            </w:r>
            <w:r w:rsidRPr="00951E14">
              <w:rPr>
                <w:rFonts w:ascii="Arial" w:hAnsi="Arial" w:cs="Arial"/>
                <w:sz w:val="24"/>
                <w:szCs w:val="24"/>
              </w:rPr>
              <w:t xml:space="preserve">: Endourology Fellow </w:t>
            </w:r>
          </w:p>
        </w:tc>
      </w:tr>
      <w:tr w:rsidR="00951E14" w:rsidRPr="00EC2E3B" w14:paraId="14855105" w14:textId="77777777" w:rsidTr="00951E14">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48802" w14:textId="77777777" w:rsidR="00951E14" w:rsidRPr="00951E14" w:rsidRDefault="00951E14" w:rsidP="004D412D">
            <w:pPr>
              <w:spacing w:after="0" w:line="240" w:lineRule="auto"/>
              <w:rPr>
                <w:rFonts w:ascii="Arial" w:hAnsi="Arial" w:cs="Arial"/>
                <w:sz w:val="24"/>
                <w:szCs w:val="24"/>
              </w:rPr>
            </w:pPr>
            <w:r w:rsidRPr="00951E14">
              <w:rPr>
                <w:rFonts w:ascii="Arial" w:hAnsi="Arial" w:cs="Arial"/>
                <w:b/>
                <w:sz w:val="24"/>
                <w:szCs w:val="24"/>
              </w:rPr>
              <w:t>Institution</w:t>
            </w:r>
            <w:r w:rsidRPr="00951E14">
              <w:rPr>
                <w:rFonts w:ascii="Arial" w:hAnsi="Arial" w:cs="Arial"/>
                <w:sz w:val="24"/>
                <w:szCs w:val="24"/>
              </w:rPr>
              <w:t>:</w:t>
            </w:r>
          </w:p>
          <w:p w14:paraId="4F62989B" w14:textId="77777777" w:rsidR="00951E14" w:rsidRPr="00951E14" w:rsidRDefault="00951E14" w:rsidP="004D412D">
            <w:pPr>
              <w:spacing w:after="0" w:line="240" w:lineRule="auto"/>
              <w:rPr>
                <w:rFonts w:ascii="Arial" w:hAnsi="Arial" w:cs="Arial"/>
                <w:sz w:val="24"/>
                <w:szCs w:val="24"/>
              </w:rPr>
            </w:pPr>
            <w:r w:rsidRPr="00951E14">
              <w:rPr>
                <w:rFonts w:ascii="Arial" w:hAnsi="Arial" w:cs="Arial"/>
                <w:sz w:val="24"/>
                <w:szCs w:val="24"/>
              </w:rPr>
              <w:t>Freeman Hospital, Newcastle upon Tyne Hospitals</w:t>
            </w:r>
          </w:p>
        </w:tc>
      </w:tr>
      <w:tr w:rsidR="00951E14" w:rsidRPr="00EC2E3B" w14:paraId="596172B4" w14:textId="77777777" w:rsidTr="00951E14">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1F712" w14:textId="77777777" w:rsidR="00951E14" w:rsidRPr="00951E14" w:rsidRDefault="00951E14" w:rsidP="004D412D">
            <w:pPr>
              <w:spacing w:after="0" w:line="240" w:lineRule="auto"/>
              <w:rPr>
                <w:rFonts w:ascii="Arial" w:hAnsi="Arial" w:cs="Arial"/>
                <w:sz w:val="24"/>
                <w:szCs w:val="24"/>
              </w:rPr>
            </w:pPr>
            <w:r w:rsidRPr="00951E14">
              <w:rPr>
                <w:rFonts w:ascii="Arial" w:hAnsi="Arial" w:cs="Arial"/>
                <w:b/>
                <w:sz w:val="24"/>
                <w:szCs w:val="24"/>
              </w:rPr>
              <w:t>Title of Presentation</w:t>
            </w:r>
            <w:r w:rsidRPr="00951E14">
              <w:rPr>
                <w:rFonts w:ascii="Arial" w:hAnsi="Arial" w:cs="Arial"/>
                <w:sz w:val="24"/>
                <w:szCs w:val="24"/>
              </w:rPr>
              <w:t>:</w:t>
            </w:r>
          </w:p>
          <w:p w14:paraId="69F0479A" w14:textId="77777777" w:rsidR="00951E14" w:rsidRPr="00951E14" w:rsidRDefault="00951E14" w:rsidP="004D412D">
            <w:pPr>
              <w:rPr>
                <w:rFonts w:ascii="Arial" w:hAnsi="Arial" w:cs="Arial"/>
                <w:sz w:val="24"/>
                <w:szCs w:val="24"/>
                <w:lang w:val="en-US"/>
              </w:rPr>
            </w:pPr>
            <w:r w:rsidRPr="00951E14">
              <w:rPr>
                <w:rFonts w:ascii="Arial" w:hAnsi="Arial" w:cs="Arial"/>
                <w:sz w:val="24"/>
                <w:szCs w:val="24"/>
                <w:lang w:val="en-US"/>
              </w:rPr>
              <w:t>Survey on perioperative anticoagulation management for endourological benign prostatic obstruction and urolithiasis operations among British urologists</w:t>
            </w:r>
          </w:p>
          <w:p w14:paraId="41F7C586" w14:textId="77777777" w:rsidR="00951E14" w:rsidRPr="00951E14" w:rsidRDefault="00951E14" w:rsidP="004D412D">
            <w:pPr>
              <w:spacing w:after="0" w:line="240" w:lineRule="auto"/>
              <w:rPr>
                <w:rFonts w:ascii="Arial" w:hAnsi="Arial" w:cs="Arial"/>
                <w:sz w:val="24"/>
                <w:szCs w:val="24"/>
              </w:rPr>
            </w:pPr>
          </w:p>
        </w:tc>
      </w:tr>
      <w:tr w:rsidR="00951E14" w:rsidRPr="00EC2E3B" w14:paraId="10EC112F" w14:textId="77777777" w:rsidTr="00951E14">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A591B" w14:textId="77777777" w:rsidR="00951E14" w:rsidRPr="00951E14" w:rsidRDefault="00951E14" w:rsidP="004D412D">
            <w:pPr>
              <w:spacing w:after="0" w:line="240" w:lineRule="auto"/>
              <w:rPr>
                <w:rFonts w:ascii="Arial" w:hAnsi="Arial" w:cs="Arial"/>
              </w:rPr>
            </w:pPr>
            <w:r w:rsidRPr="00951E14">
              <w:rPr>
                <w:rFonts w:ascii="Arial" w:hAnsi="Arial" w:cs="Arial"/>
                <w:b/>
              </w:rPr>
              <w:t>Authors</w:t>
            </w:r>
            <w:r w:rsidRPr="00951E14">
              <w:rPr>
                <w:rFonts w:ascii="Arial" w:hAnsi="Arial" w:cs="Arial"/>
              </w:rPr>
              <w:t>:</w:t>
            </w:r>
          </w:p>
          <w:p w14:paraId="12B92200" w14:textId="77777777" w:rsidR="00951E14" w:rsidRPr="00951E14" w:rsidRDefault="00951E14" w:rsidP="004D412D">
            <w:pPr>
              <w:spacing w:after="0" w:line="240" w:lineRule="auto"/>
              <w:rPr>
                <w:rFonts w:ascii="Arial" w:hAnsi="Arial" w:cs="Arial"/>
              </w:rPr>
            </w:pPr>
            <w:r w:rsidRPr="00951E14">
              <w:rPr>
                <w:rFonts w:ascii="Arial" w:hAnsi="Arial" w:cs="Arial"/>
                <w:lang w:val="de-CH"/>
              </w:rPr>
              <w:t xml:space="preserve">S. </w:t>
            </w:r>
            <w:proofErr w:type="spellStart"/>
            <w:r w:rsidRPr="00951E14">
              <w:rPr>
                <w:rFonts w:ascii="Arial" w:hAnsi="Arial" w:cs="Arial"/>
                <w:lang w:val="de-CH"/>
              </w:rPr>
              <w:t>Croghan</w:t>
            </w:r>
            <w:proofErr w:type="spellEnd"/>
            <w:r w:rsidRPr="00951E14">
              <w:rPr>
                <w:rFonts w:ascii="Arial" w:hAnsi="Arial" w:cs="Arial"/>
                <w:lang w:val="de-CH"/>
              </w:rPr>
              <w:t xml:space="preserve">, C. </w:t>
            </w:r>
            <w:proofErr w:type="spellStart"/>
            <w:r w:rsidRPr="00951E14">
              <w:rPr>
                <w:rFonts w:ascii="Arial" w:hAnsi="Arial" w:cs="Arial"/>
                <w:lang w:val="de-CH"/>
              </w:rPr>
              <w:t>Schregel</w:t>
            </w:r>
            <w:proofErr w:type="spellEnd"/>
            <w:r w:rsidRPr="00951E14">
              <w:rPr>
                <w:rFonts w:ascii="Arial" w:hAnsi="Arial" w:cs="Arial"/>
                <w:lang w:val="de-CH"/>
              </w:rPr>
              <w:t xml:space="preserve">, A. Luk, T. </w:t>
            </w:r>
            <w:proofErr w:type="spellStart"/>
            <w:r w:rsidRPr="00951E14">
              <w:rPr>
                <w:rFonts w:ascii="Arial" w:hAnsi="Arial" w:cs="Arial"/>
                <w:lang w:val="de-CH"/>
              </w:rPr>
              <w:t>Dorkin</w:t>
            </w:r>
            <w:proofErr w:type="spellEnd"/>
            <w:r w:rsidRPr="00951E14">
              <w:rPr>
                <w:rFonts w:ascii="Arial" w:hAnsi="Arial" w:cs="Arial"/>
                <w:lang w:val="de-CH"/>
              </w:rPr>
              <w:t>, D. Rix, D. Thomas, J. Fitzpatrick, M. Shaw, T. Page, A. Rogers</w:t>
            </w:r>
          </w:p>
          <w:p w14:paraId="635A0E86" w14:textId="77777777" w:rsidR="00951E14" w:rsidRPr="00EC2E3B" w:rsidRDefault="00951E14" w:rsidP="004D412D">
            <w:pPr>
              <w:spacing w:after="0" w:line="240" w:lineRule="auto"/>
              <w:rPr>
                <w:rFonts w:ascii="Arial" w:hAnsi="Arial" w:cs="Arial"/>
                <w:vertAlign w:val="subscript"/>
                <w:lang w:val="de-CH"/>
              </w:rPr>
            </w:pPr>
          </w:p>
        </w:tc>
      </w:tr>
      <w:tr w:rsidR="00951E14" w:rsidRPr="00EC2E3B" w14:paraId="1223AFA5" w14:textId="77777777" w:rsidTr="00951E14">
        <w:tc>
          <w:tcPr>
            <w:tcW w:w="99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B13DDE" w14:textId="2C9F6576" w:rsidR="00951E14" w:rsidRDefault="00951E14" w:rsidP="00951E14">
            <w:pPr>
              <w:spacing w:after="0" w:line="240" w:lineRule="auto"/>
              <w:rPr>
                <w:rFonts w:ascii="Arial" w:hAnsi="Arial" w:cs="Arial"/>
                <w:b/>
                <w:bCs/>
              </w:rPr>
            </w:pPr>
            <w:r w:rsidRPr="00951E14">
              <w:rPr>
                <w:rFonts w:ascii="Arial" w:hAnsi="Arial" w:cs="Arial"/>
                <w:b/>
                <w:bCs/>
              </w:rPr>
              <w:t>Aims:</w:t>
            </w:r>
            <w:r w:rsidRPr="00951E14">
              <w:rPr>
                <w:rFonts w:ascii="Arial" w:hAnsi="Arial" w:cs="Arial"/>
                <w:b/>
                <w:bCs/>
              </w:rPr>
              <w:t xml:space="preserve"> </w:t>
            </w:r>
          </w:p>
          <w:p w14:paraId="7A042459" w14:textId="77777777" w:rsidR="00951E14" w:rsidRPr="00951E14" w:rsidRDefault="00951E14" w:rsidP="00951E14">
            <w:pPr>
              <w:spacing w:after="0" w:line="240" w:lineRule="auto"/>
              <w:rPr>
                <w:rFonts w:ascii="Arial" w:hAnsi="Arial" w:cs="Arial"/>
                <w:b/>
                <w:bCs/>
              </w:rPr>
            </w:pPr>
          </w:p>
          <w:p w14:paraId="31512C77" w14:textId="0BF36B4A" w:rsidR="00951E14" w:rsidRPr="00951E14" w:rsidRDefault="00951E14" w:rsidP="00951E14">
            <w:pPr>
              <w:spacing w:after="0" w:line="240" w:lineRule="auto"/>
              <w:rPr>
                <w:rFonts w:ascii="Arial" w:hAnsi="Arial" w:cs="Arial"/>
                <w:sz w:val="24"/>
                <w:szCs w:val="24"/>
              </w:rPr>
            </w:pPr>
            <w:r w:rsidRPr="00951E14">
              <w:rPr>
                <w:rFonts w:ascii="Arial" w:hAnsi="Arial" w:cs="Arial"/>
                <w:sz w:val="24"/>
                <w:szCs w:val="24"/>
                <w:lang w:val="en-US"/>
              </w:rPr>
              <w:t>Operations for the treatment of benign prostatic obstruction (BPO) and urolithiasis are among the most common urological procedures. In an ageing population, anticoagulation use is increasingly prevalent. Since most guidelines on perioperative anticoagulation management do not specifically address BPO and stone surgery, and clinical practice is inconsistent, we aimed to investigate the treatment patterns among British urologists.</w:t>
            </w:r>
          </w:p>
        </w:tc>
      </w:tr>
      <w:tr w:rsidR="00951E14" w:rsidRPr="00EC2E3B" w14:paraId="78E047A4" w14:textId="77777777" w:rsidTr="00951E14">
        <w:tc>
          <w:tcPr>
            <w:tcW w:w="99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E15FB52" w14:textId="77777777" w:rsidR="00951E14" w:rsidRPr="00951E14" w:rsidRDefault="00951E14" w:rsidP="00951E14">
            <w:pPr>
              <w:rPr>
                <w:rFonts w:ascii="Arial" w:hAnsi="Arial" w:cs="Arial"/>
                <w:b/>
                <w:bCs/>
              </w:rPr>
            </w:pPr>
            <w:r w:rsidRPr="00951E14">
              <w:rPr>
                <w:rFonts w:ascii="Arial" w:hAnsi="Arial" w:cs="Arial"/>
                <w:b/>
                <w:bCs/>
              </w:rPr>
              <w:t>Methods:</w:t>
            </w:r>
          </w:p>
          <w:p w14:paraId="2F8ABF79" w14:textId="14679A3A" w:rsidR="00951E14" w:rsidRPr="00951E14" w:rsidRDefault="00951E14" w:rsidP="00951E14">
            <w:pPr>
              <w:rPr>
                <w:rFonts w:ascii="Arial" w:hAnsi="Arial" w:cs="Arial"/>
                <w:sz w:val="24"/>
                <w:szCs w:val="24"/>
              </w:rPr>
            </w:pPr>
            <w:r w:rsidRPr="00951E14">
              <w:rPr>
                <w:rFonts w:ascii="Arial" w:hAnsi="Arial" w:cs="Arial"/>
                <w:sz w:val="24"/>
                <w:szCs w:val="24"/>
                <w:lang w:val="en-US"/>
              </w:rPr>
              <w:t xml:space="preserve">We designed two questionnaires, including procedure-specific and scenario-based questions to assess the perioperative management of acetylsalicylic acid (ASA), vitamin K antagonists, direct oral anticoagulants (DOACs), and novel platelet inhibitors before different BPO surgeries (TUR-P, </w:t>
            </w:r>
            <w:proofErr w:type="spellStart"/>
            <w:r w:rsidRPr="00951E14">
              <w:rPr>
                <w:rFonts w:ascii="Arial" w:hAnsi="Arial" w:cs="Arial"/>
                <w:sz w:val="24"/>
                <w:szCs w:val="24"/>
                <w:lang w:val="en-US"/>
              </w:rPr>
              <w:t>HoLEP</w:t>
            </w:r>
            <w:proofErr w:type="spellEnd"/>
            <w:r w:rsidRPr="00951E14">
              <w:rPr>
                <w:rFonts w:ascii="Arial" w:hAnsi="Arial" w:cs="Arial"/>
                <w:sz w:val="24"/>
                <w:szCs w:val="24"/>
                <w:lang w:val="en-US"/>
              </w:rPr>
              <w:t xml:space="preserve">, </w:t>
            </w:r>
            <w:proofErr w:type="spellStart"/>
            <w:r w:rsidRPr="00951E14">
              <w:rPr>
                <w:rFonts w:ascii="Arial" w:hAnsi="Arial" w:cs="Arial"/>
                <w:sz w:val="24"/>
                <w:szCs w:val="24"/>
                <w:lang w:val="en-US"/>
              </w:rPr>
              <w:t>GreenLight</w:t>
            </w:r>
            <w:proofErr w:type="spellEnd"/>
            <w:r w:rsidRPr="00951E14">
              <w:rPr>
                <w:rFonts w:ascii="Arial" w:hAnsi="Arial" w:cs="Arial"/>
                <w:sz w:val="24"/>
                <w:szCs w:val="24"/>
                <w:lang w:val="en-US"/>
              </w:rPr>
              <w:t xml:space="preserve"> laser </w:t>
            </w:r>
            <w:proofErr w:type="spellStart"/>
            <w:r w:rsidRPr="00951E14">
              <w:rPr>
                <w:rFonts w:ascii="Arial" w:hAnsi="Arial" w:cs="Arial"/>
                <w:sz w:val="24"/>
                <w:szCs w:val="24"/>
                <w:lang w:val="en-US"/>
              </w:rPr>
              <w:t>vapourisation</w:t>
            </w:r>
            <w:proofErr w:type="spellEnd"/>
            <w:r w:rsidRPr="00951E14">
              <w:rPr>
                <w:rFonts w:ascii="Arial" w:hAnsi="Arial" w:cs="Arial"/>
                <w:sz w:val="24"/>
                <w:szCs w:val="24"/>
                <w:lang w:val="en-US"/>
              </w:rPr>
              <w:t xml:space="preserve">, </w:t>
            </w:r>
            <w:proofErr w:type="spellStart"/>
            <w:r w:rsidRPr="00951E14">
              <w:rPr>
                <w:rFonts w:ascii="Arial" w:hAnsi="Arial" w:cs="Arial"/>
                <w:sz w:val="24"/>
                <w:szCs w:val="24"/>
                <w:lang w:val="en-US"/>
              </w:rPr>
              <w:t>Aquaablation</w:t>
            </w:r>
            <w:proofErr w:type="spellEnd"/>
            <w:r w:rsidRPr="00951E14">
              <w:rPr>
                <w:rFonts w:ascii="Arial" w:hAnsi="Arial" w:cs="Arial"/>
                <w:sz w:val="24"/>
                <w:szCs w:val="24"/>
                <w:lang w:val="en-US"/>
              </w:rPr>
              <w:t xml:space="preserve">, and minimally invasive surgical therapies (MIST)), as well as stone treatment procedures (lithotripsy, ureteroscopy and PCNL). The survey was internally validated and distributed via WhatsApp groups of British urologists performing </w:t>
            </w:r>
            <w:proofErr w:type="spellStart"/>
            <w:r w:rsidRPr="00951E14">
              <w:rPr>
                <w:rFonts w:ascii="Arial" w:hAnsi="Arial" w:cs="Arial"/>
                <w:sz w:val="24"/>
                <w:szCs w:val="24"/>
                <w:lang w:val="en-US"/>
              </w:rPr>
              <w:t>HoLEP</w:t>
            </w:r>
            <w:proofErr w:type="spellEnd"/>
            <w:r w:rsidRPr="00951E14">
              <w:rPr>
                <w:rFonts w:ascii="Arial" w:hAnsi="Arial" w:cs="Arial"/>
                <w:sz w:val="24"/>
                <w:szCs w:val="24"/>
                <w:lang w:val="en-US"/>
              </w:rPr>
              <w:t>. or endourology procedures. Microsoft Forms was used for distribution, response collection, and basic statistical analysis.</w:t>
            </w:r>
          </w:p>
        </w:tc>
      </w:tr>
      <w:tr w:rsidR="00951E14" w:rsidRPr="00EC2E3B" w14:paraId="63483C1D" w14:textId="77777777" w:rsidTr="00951E14">
        <w:tc>
          <w:tcPr>
            <w:tcW w:w="99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2951BE" w14:textId="77777777" w:rsidR="00951E14" w:rsidRPr="00951E14" w:rsidRDefault="00951E14" w:rsidP="00951E14">
            <w:pPr>
              <w:rPr>
                <w:rFonts w:ascii="Arial" w:hAnsi="Arial" w:cs="Arial"/>
                <w:b/>
                <w:bCs/>
              </w:rPr>
            </w:pPr>
            <w:r w:rsidRPr="00951E14">
              <w:rPr>
                <w:rFonts w:ascii="Arial" w:hAnsi="Arial" w:cs="Arial"/>
                <w:b/>
                <w:bCs/>
              </w:rPr>
              <w:t>Results:</w:t>
            </w:r>
          </w:p>
          <w:p w14:paraId="33A886CD" w14:textId="4842497C" w:rsidR="00951E14" w:rsidRPr="00951E14" w:rsidRDefault="00951E14" w:rsidP="00951E14">
            <w:pPr>
              <w:rPr>
                <w:rFonts w:ascii="Arial" w:hAnsi="Arial" w:cs="Arial"/>
                <w:sz w:val="24"/>
                <w:szCs w:val="24"/>
              </w:rPr>
            </w:pPr>
            <w:r w:rsidRPr="00951E14">
              <w:rPr>
                <w:rFonts w:ascii="Arial" w:hAnsi="Arial" w:cs="Arial"/>
                <w:sz w:val="24"/>
                <w:szCs w:val="24"/>
                <w:lang w:val="en-US"/>
              </w:rPr>
              <w:t xml:space="preserve">The surveys had a response rate of 23% (BPO) and 25.8% (stones). Preoperatively, there was broad consensus not to stop ASS, while DOACs were typically stopped 2-4 days prior, and novel platelet inhibitors were stopped ≥7 days before surgery. The greatest differences in management patterns were observed regarding MISTs. </w:t>
            </w:r>
            <w:r w:rsidRPr="00951E14">
              <w:rPr>
                <w:rFonts w:ascii="Arial" w:hAnsi="Arial" w:cs="Arial"/>
                <w:sz w:val="24"/>
                <w:szCs w:val="24"/>
              </w:rPr>
              <w:t>Postoperative management responses showed much larger variability in practice, with no consensus.</w:t>
            </w:r>
          </w:p>
        </w:tc>
      </w:tr>
      <w:tr w:rsidR="00951E14" w:rsidRPr="00EC2E3B" w14:paraId="067B9C4F" w14:textId="77777777" w:rsidTr="00951E14">
        <w:trPr>
          <w:trHeight w:val="1879"/>
        </w:trPr>
        <w:tc>
          <w:tcPr>
            <w:tcW w:w="99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53715FA" w14:textId="77777777" w:rsidR="00951E14" w:rsidRPr="00951E14" w:rsidRDefault="00951E14" w:rsidP="00951E14">
            <w:pPr>
              <w:rPr>
                <w:rFonts w:ascii="Arial" w:hAnsi="Arial" w:cs="Arial"/>
                <w:b/>
                <w:bCs/>
              </w:rPr>
            </w:pPr>
            <w:r w:rsidRPr="00951E14">
              <w:rPr>
                <w:rFonts w:ascii="Arial" w:hAnsi="Arial" w:cs="Arial"/>
                <w:b/>
                <w:bCs/>
              </w:rPr>
              <w:t>Conclusion:</w:t>
            </w:r>
          </w:p>
          <w:p w14:paraId="7F01E358" w14:textId="28B72DB7" w:rsidR="00951E14" w:rsidRPr="00951E14" w:rsidRDefault="00951E14" w:rsidP="00951E14">
            <w:pPr>
              <w:rPr>
                <w:rFonts w:ascii="Arial" w:hAnsi="Arial" w:cs="Arial"/>
              </w:rPr>
            </w:pPr>
            <w:r w:rsidRPr="00951E14">
              <w:rPr>
                <w:rFonts w:ascii="Arial" w:hAnsi="Arial" w:cs="Arial"/>
                <w:sz w:val="24"/>
                <w:szCs w:val="24"/>
                <w:lang w:val="en-US"/>
              </w:rPr>
              <w:t>While preoperative management of ASA and anticoagulation was relatively consistent among participants, significant differences are evident in the postoperative management of anticoagulation in BPO and stone surgery, particularly with MISTs. Given the prevalence of these procedures, further research is needed to clarify their optimal postoperative anticoagulation management.</w:t>
            </w:r>
          </w:p>
        </w:tc>
      </w:tr>
    </w:tbl>
    <w:p w14:paraId="286BBF04" w14:textId="39C4A0B1" w:rsidR="00B1672D" w:rsidRDefault="00C41341" w:rsidP="00C41341">
      <w:pPr>
        <w:spacing w:after="160" w:line="259" w:lineRule="auto"/>
        <w:rPr>
          <w:rFonts w:ascii="Arial" w:hAnsi="Arial" w:cs="Arial"/>
          <w:b/>
          <w:sz w:val="24"/>
          <w:szCs w:val="24"/>
        </w:rPr>
      </w:pPr>
      <w:bookmarkStart w:id="5" w:name="_Hlk86863222"/>
      <w:r w:rsidRPr="00AF00B7">
        <w:rPr>
          <w:rFonts w:ascii="Arial" w:hAnsi="Arial" w:cs="Arial"/>
          <w:b/>
          <w:sz w:val="24"/>
          <w:szCs w:val="24"/>
        </w:rPr>
        <w:t>Abstract 8</w:t>
      </w:r>
    </w:p>
    <w:p w14:paraId="4755726E" w14:textId="77777777" w:rsidR="00951E14" w:rsidRPr="00951E14" w:rsidRDefault="00951E14" w:rsidP="00C41341">
      <w:pPr>
        <w:spacing w:after="160" w:line="259" w:lineRule="auto"/>
        <w:rPr>
          <w:rFonts w:ascii="Arial" w:hAnsi="Arial" w:cs="Arial"/>
          <w:b/>
          <w:u w:val="single"/>
        </w:rPr>
      </w:pPr>
    </w:p>
    <w:tbl>
      <w:tblPr>
        <w:tblStyle w:val="TableGrid"/>
        <w:tblW w:w="9360" w:type="dxa"/>
        <w:tblLayout w:type="fixed"/>
        <w:tblLook w:val="06A0" w:firstRow="1" w:lastRow="0" w:firstColumn="1" w:lastColumn="0" w:noHBand="1" w:noVBand="1"/>
      </w:tblPr>
      <w:tblGrid>
        <w:gridCol w:w="6210"/>
        <w:gridCol w:w="3150"/>
      </w:tblGrid>
      <w:tr w:rsidR="00951E14" w14:paraId="55F7FF58" w14:textId="77777777" w:rsidTr="004D412D">
        <w:trPr>
          <w:trHeight w:val="659"/>
        </w:trPr>
        <w:tc>
          <w:tcPr>
            <w:tcW w:w="6210" w:type="dxa"/>
          </w:tcPr>
          <w:p w14:paraId="014D4915" w14:textId="77777777" w:rsidR="00951E14" w:rsidRPr="001A44C0" w:rsidRDefault="00951E14" w:rsidP="004D412D">
            <w:pPr>
              <w:rPr>
                <w:rFonts w:ascii="Calibri" w:eastAsia="Calibri" w:hAnsi="Calibri" w:cs="Calibri"/>
                <w:b/>
                <w:bCs/>
              </w:rPr>
            </w:pPr>
            <w:r w:rsidRPr="5A480574">
              <w:rPr>
                <w:rFonts w:ascii="Calibri" w:eastAsia="Calibri" w:hAnsi="Calibri" w:cs="Calibri"/>
                <w:b/>
                <w:bCs/>
              </w:rPr>
              <w:t>Name of Presenter:</w:t>
            </w:r>
            <w:r>
              <w:rPr>
                <w:rFonts w:ascii="Calibri" w:eastAsia="Calibri" w:hAnsi="Calibri" w:cs="Calibri"/>
                <w:b/>
                <w:bCs/>
              </w:rPr>
              <w:t xml:space="preserve"> </w:t>
            </w:r>
            <w:r w:rsidRPr="5A480574">
              <w:rPr>
                <w:rFonts w:ascii="Calibri" w:eastAsia="Calibri" w:hAnsi="Calibri" w:cs="Calibri"/>
              </w:rPr>
              <w:t>Fraser Barbour</w:t>
            </w:r>
          </w:p>
        </w:tc>
        <w:tc>
          <w:tcPr>
            <w:tcW w:w="3150" w:type="dxa"/>
          </w:tcPr>
          <w:p w14:paraId="0CF96081" w14:textId="77777777" w:rsidR="00951E14" w:rsidRPr="001A44C0" w:rsidRDefault="00951E14" w:rsidP="004D412D">
            <w:pPr>
              <w:rPr>
                <w:rFonts w:ascii="Calibri" w:eastAsia="Calibri" w:hAnsi="Calibri" w:cs="Calibri"/>
                <w:b/>
                <w:bCs/>
              </w:rPr>
            </w:pPr>
            <w:r w:rsidRPr="5A480574">
              <w:rPr>
                <w:rFonts w:ascii="Calibri" w:eastAsia="Calibri" w:hAnsi="Calibri" w:cs="Calibri"/>
                <w:b/>
                <w:bCs/>
              </w:rPr>
              <w:t>Training grade/post:</w:t>
            </w:r>
            <w:r>
              <w:rPr>
                <w:rFonts w:ascii="Calibri" w:eastAsia="Calibri" w:hAnsi="Calibri" w:cs="Calibri"/>
                <w:b/>
                <w:bCs/>
              </w:rPr>
              <w:t xml:space="preserve"> SHO</w:t>
            </w:r>
          </w:p>
        </w:tc>
      </w:tr>
      <w:tr w:rsidR="00951E14" w14:paraId="28156CCE" w14:textId="77777777" w:rsidTr="004D412D">
        <w:trPr>
          <w:trHeight w:val="300"/>
        </w:trPr>
        <w:tc>
          <w:tcPr>
            <w:tcW w:w="9360" w:type="dxa"/>
            <w:gridSpan w:val="2"/>
          </w:tcPr>
          <w:p w14:paraId="260BA714" w14:textId="77777777" w:rsidR="00951E14" w:rsidRPr="001A44C0" w:rsidRDefault="00951E14" w:rsidP="004D412D">
            <w:pPr>
              <w:rPr>
                <w:rFonts w:ascii="Calibri" w:eastAsia="Calibri" w:hAnsi="Calibri" w:cs="Calibri"/>
                <w:b/>
                <w:bCs/>
              </w:rPr>
            </w:pPr>
            <w:proofErr w:type="spellStart"/>
            <w:proofErr w:type="gramStart"/>
            <w:r w:rsidRPr="5A480574">
              <w:rPr>
                <w:rFonts w:ascii="Calibri" w:eastAsia="Calibri" w:hAnsi="Calibri" w:cs="Calibri"/>
                <w:b/>
                <w:bCs/>
              </w:rPr>
              <w:t>Institution:</w:t>
            </w:r>
            <w:r w:rsidRPr="3DBFFE16">
              <w:rPr>
                <w:rFonts w:ascii="Calibri" w:eastAsia="Calibri" w:hAnsi="Calibri" w:cs="Calibri"/>
              </w:rPr>
              <w:t>Freeman</w:t>
            </w:r>
            <w:proofErr w:type="spellEnd"/>
            <w:proofErr w:type="gramEnd"/>
            <w:r w:rsidRPr="3DBFFE16">
              <w:rPr>
                <w:rFonts w:ascii="Calibri" w:eastAsia="Calibri" w:hAnsi="Calibri" w:cs="Calibri"/>
              </w:rPr>
              <w:t xml:space="preserve"> Hospital, Newcastle</w:t>
            </w:r>
          </w:p>
        </w:tc>
      </w:tr>
      <w:tr w:rsidR="00951E14" w14:paraId="12597912" w14:textId="77777777" w:rsidTr="004D412D">
        <w:trPr>
          <w:trHeight w:val="300"/>
        </w:trPr>
        <w:tc>
          <w:tcPr>
            <w:tcW w:w="9360" w:type="dxa"/>
            <w:gridSpan w:val="2"/>
          </w:tcPr>
          <w:p w14:paraId="58FBD9B3" w14:textId="77777777" w:rsidR="00951E14" w:rsidRDefault="00951E14" w:rsidP="004D412D">
            <w:pPr>
              <w:rPr>
                <w:rFonts w:ascii="Calibri" w:eastAsia="Calibri" w:hAnsi="Calibri" w:cs="Calibri"/>
                <w:b/>
                <w:bCs/>
              </w:rPr>
            </w:pPr>
            <w:r w:rsidRPr="5A480574">
              <w:rPr>
                <w:rFonts w:ascii="Calibri" w:eastAsia="Calibri" w:hAnsi="Calibri" w:cs="Calibri"/>
                <w:b/>
                <w:bCs/>
              </w:rPr>
              <w:t>Title of Presentation:</w:t>
            </w:r>
          </w:p>
          <w:p w14:paraId="50DB9113" w14:textId="77777777" w:rsidR="00951E14" w:rsidRPr="001A44C0" w:rsidRDefault="00951E14" w:rsidP="004D412D">
            <w:pPr>
              <w:rPr>
                <w:rFonts w:ascii="Calibri" w:eastAsia="Calibri" w:hAnsi="Calibri" w:cs="Calibri"/>
                <w:color w:val="000000" w:themeColor="text1"/>
              </w:rPr>
            </w:pPr>
            <w:r w:rsidRPr="3EA1A373">
              <w:rPr>
                <w:rFonts w:ascii="Calibri" w:eastAsia="Calibri" w:hAnsi="Calibri" w:cs="Calibri"/>
                <w:color w:val="000000" w:themeColor="text1"/>
              </w:rPr>
              <w:t>Single-use flexible ureteroscopes: An affordable upfront cost? Real-world cost analysis of the hybrid model</w:t>
            </w:r>
          </w:p>
        </w:tc>
      </w:tr>
      <w:tr w:rsidR="00951E14" w14:paraId="31146ED9" w14:textId="77777777" w:rsidTr="004D412D">
        <w:trPr>
          <w:trHeight w:val="300"/>
        </w:trPr>
        <w:tc>
          <w:tcPr>
            <w:tcW w:w="9360" w:type="dxa"/>
            <w:gridSpan w:val="2"/>
          </w:tcPr>
          <w:p w14:paraId="0D8661FD" w14:textId="77777777" w:rsidR="00951E14" w:rsidRDefault="00951E14" w:rsidP="004D412D">
            <w:pPr>
              <w:rPr>
                <w:rFonts w:ascii="Calibri" w:eastAsia="Calibri" w:hAnsi="Calibri" w:cs="Calibri"/>
                <w:b/>
                <w:bCs/>
              </w:rPr>
            </w:pPr>
            <w:r w:rsidRPr="5A480574">
              <w:rPr>
                <w:rFonts w:ascii="Calibri" w:eastAsia="Calibri" w:hAnsi="Calibri" w:cs="Calibri"/>
                <w:b/>
                <w:bCs/>
              </w:rPr>
              <w:t>Authors:</w:t>
            </w:r>
          </w:p>
          <w:p w14:paraId="7769CE18" w14:textId="77777777" w:rsidR="00951E14" w:rsidRDefault="00951E14" w:rsidP="004D412D">
            <w:pPr>
              <w:rPr>
                <w:rFonts w:ascii="Calibri" w:eastAsia="Calibri" w:hAnsi="Calibri" w:cs="Calibri"/>
                <w:color w:val="000000" w:themeColor="text1"/>
              </w:rPr>
            </w:pPr>
            <w:r w:rsidRPr="3EA1A373">
              <w:rPr>
                <w:rFonts w:ascii="Calibri" w:eastAsia="Calibri" w:hAnsi="Calibri" w:cs="Calibri"/>
                <w:color w:val="000000" w:themeColor="text1"/>
              </w:rPr>
              <w:t xml:space="preserve">Fraser Barbour, John Fitzpatrick, Matthew Shaw, Alistair Rogers, David Rix, David Thomas, </w:t>
            </w:r>
            <w:proofErr w:type="spellStart"/>
            <w:r w:rsidRPr="3EA1A373">
              <w:rPr>
                <w:rFonts w:ascii="Calibri" w:eastAsia="Calibri" w:hAnsi="Calibri" w:cs="Calibri"/>
                <w:color w:val="000000" w:themeColor="text1"/>
              </w:rPr>
              <w:t>Rajan</w:t>
            </w:r>
            <w:proofErr w:type="spellEnd"/>
            <w:r w:rsidRPr="3EA1A373">
              <w:rPr>
                <w:rFonts w:ascii="Calibri" w:eastAsia="Calibri" w:hAnsi="Calibri" w:cs="Calibri"/>
                <w:color w:val="000000" w:themeColor="text1"/>
              </w:rPr>
              <w:t xml:space="preserve"> </w:t>
            </w:r>
            <w:proofErr w:type="spellStart"/>
            <w:r w:rsidRPr="3EA1A373">
              <w:rPr>
                <w:rFonts w:ascii="Calibri" w:eastAsia="Calibri" w:hAnsi="Calibri" w:cs="Calibri"/>
                <w:color w:val="000000" w:themeColor="text1"/>
              </w:rPr>
              <w:t>Veeratterapillay</w:t>
            </w:r>
            <w:proofErr w:type="spellEnd"/>
            <w:r w:rsidRPr="3EA1A373">
              <w:rPr>
                <w:rFonts w:ascii="Calibri" w:eastAsia="Calibri" w:hAnsi="Calibri" w:cs="Calibri"/>
                <w:color w:val="000000" w:themeColor="text1"/>
              </w:rPr>
              <w:t xml:space="preserve">, Robert Geraghty, Angus </w:t>
            </w:r>
            <w:proofErr w:type="spellStart"/>
            <w:r w:rsidRPr="3EA1A373">
              <w:rPr>
                <w:rFonts w:ascii="Calibri" w:eastAsia="Calibri" w:hAnsi="Calibri" w:cs="Calibri"/>
                <w:color w:val="000000" w:themeColor="text1"/>
              </w:rPr>
              <w:t>Luk</w:t>
            </w:r>
            <w:proofErr w:type="spellEnd"/>
          </w:p>
        </w:tc>
      </w:tr>
      <w:tr w:rsidR="00951E14" w14:paraId="180049F1" w14:textId="77777777" w:rsidTr="004D412D">
        <w:trPr>
          <w:trHeight w:val="300"/>
        </w:trPr>
        <w:tc>
          <w:tcPr>
            <w:tcW w:w="9360" w:type="dxa"/>
            <w:gridSpan w:val="2"/>
            <w:shd w:val="clear" w:color="auto" w:fill="D0CECE" w:themeFill="background2" w:themeFillShade="E6"/>
          </w:tcPr>
          <w:p w14:paraId="77ED45AF" w14:textId="77777777" w:rsidR="00951E14" w:rsidRDefault="00951E14" w:rsidP="004D412D">
            <w:pPr>
              <w:rPr>
                <w:rFonts w:ascii="Calibri" w:eastAsia="Calibri" w:hAnsi="Calibri" w:cs="Calibri"/>
                <w:b/>
                <w:bCs/>
              </w:rPr>
            </w:pPr>
            <w:r w:rsidRPr="3EA1A373">
              <w:rPr>
                <w:rFonts w:ascii="Calibri" w:eastAsia="Calibri" w:hAnsi="Calibri" w:cs="Calibri"/>
                <w:b/>
                <w:bCs/>
              </w:rPr>
              <w:t>Aims:</w:t>
            </w:r>
          </w:p>
          <w:p w14:paraId="64973605" w14:textId="77777777" w:rsidR="00951E14" w:rsidRDefault="00951E14" w:rsidP="004D412D">
            <w:pPr>
              <w:rPr>
                <w:rFonts w:ascii="Calibri" w:eastAsia="Calibri" w:hAnsi="Calibri" w:cs="Calibri"/>
                <w:color w:val="000000" w:themeColor="text1"/>
              </w:rPr>
            </w:pPr>
            <w:r w:rsidRPr="247E7AF0">
              <w:rPr>
                <w:rFonts w:ascii="Calibri" w:eastAsia="Calibri" w:hAnsi="Calibri" w:cs="Calibri"/>
                <w:color w:val="000000" w:themeColor="text1"/>
              </w:rPr>
              <w:t>There is a significant cost associated with every use of single-use flexible ureteroscopes (</w:t>
            </w:r>
            <w:proofErr w:type="spellStart"/>
            <w:r w:rsidRPr="247E7AF0">
              <w:rPr>
                <w:rFonts w:ascii="Calibri" w:eastAsia="Calibri" w:hAnsi="Calibri" w:cs="Calibri"/>
                <w:color w:val="000000" w:themeColor="text1"/>
              </w:rPr>
              <w:t>fURS</w:t>
            </w:r>
            <w:proofErr w:type="spellEnd"/>
            <w:r w:rsidRPr="247E7AF0">
              <w:rPr>
                <w:rFonts w:ascii="Calibri" w:eastAsia="Calibri" w:hAnsi="Calibri" w:cs="Calibri"/>
                <w:color w:val="000000" w:themeColor="text1"/>
              </w:rPr>
              <w:t xml:space="preserve">) when compared with reusable </w:t>
            </w:r>
            <w:proofErr w:type="spellStart"/>
            <w:r w:rsidRPr="247E7AF0">
              <w:rPr>
                <w:rFonts w:ascii="Calibri" w:eastAsia="Calibri" w:hAnsi="Calibri" w:cs="Calibri"/>
                <w:color w:val="000000" w:themeColor="text1"/>
              </w:rPr>
              <w:t>fURS</w:t>
            </w:r>
            <w:proofErr w:type="spellEnd"/>
            <w:r w:rsidRPr="247E7AF0">
              <w:rPr>
                <w:rFonts w:ascii="Calibri" w:eastAsia="Calibri" w:hAnsi="Calibri" w:cs="Calibri"/>
                <w:color w:val="000000" w:themeColor="text1"/>
              </w:rPr>
              <w:t xml:space="preserve">. Recent technological advances have made further miniaturisation possible with single-use scopes, allowing surgical access which otherwise may require stenting and subsequent second procedure. We analysed how the availability of smaller calibre single-use </w:t>
            </w:r>
            <w:proofErr w:type="spellStart"/>
            <w:r w:rsidRPr="247E7AF0">
              <w:rPr>
                <w:rFonts w:ascii="Calibri" w:eastAsia="Calibri" w:hAnsi="Calibri" w:cs="Calibri"/>
                <w:color w:val="000000" w:themeColor="text1"/>
              </w:rPr>
              <w:t>fURS</w:t>
            </w:r>
            <w:proofErr w:type="spellEnd"/>
            <w:r w:rsidRPr="247E7AF0">
              <w:rPr>
                <w:rFonts w:ascii="Calibri" w:eastAsia="Calibri" w:hAnsi="Calibri" w:cs="Calibri"/>
                <w:color w:val="000000" w:themeColor="text1"/>
              </w:rPr>
              <w:t xml:space="preserve"> would impact the overall costs.</w:t>
            </w:r>
          </w:p>
        </w:tc>
      </w:tr>
      <w:tr w:rsidR="00951E14" w14:paraId="5DDE035B" w14:textId="77777777" w:rsidTr="004D412D">
        <w:trPr>
          <w:trHeight w:val="300"/>
        </w:trPr>
        <w:tc>
          <w:tcPr>
            <w:tcW w:w="9360" w:type="dxa"/>
            <w:gridSpan w:val="2"/>
            <w:shd w:val="clear" w:color="auto" w:fill="D0CECE" w:themeFill="background2" w:themeFillShade="E6"/>
          </w:tcPr>
          <w:p w14:paraId="5E215A25" w14:textId="77777777" w:rsidR="00951E14" w:rsidRDefault="00951E14" w:rsidP="004D412D">
            <w:pPr>
              <w:rPr>
                <w:rFonts w:ascii="Calibri" w:eastAsia="Calibri" w:hAnsi="Calibri" w:cs="Calibri"/>
                <w:b/>
                <w:bCs/>
              </w:rPr>
            </w:pPr>
            <w:r w:rsidRPr="3EA1A373">
              <w:rPr>
                <w:rFonts w:ascii="Calibri" w:eastAsia="Calibri" w:hAnsi="Calibri" w:cs="Calibri"/>
                <w:b/>
                <w:bCs/>
              </w:rPr>
              <w:t>Methods:</w:t>
            </w:r>
          </w:p>
          <w:p w14:paraId="408C351A" w14:textId="77777777" w:rsidR="00951E14" w:rsidRDefault="00951E14" w:rsidP="004D412D">
            <w:pPr>
              <w:rPr>
                <w:rFonts w:ascii="Calibri" w:eastAsia="Calibri" w:hAnsi="Calibri" w:cs="Calibri"/>
                <w:color w:val="000000" w:themeColor="text1"/>
              </w:rPr>
            </w:pPr>
            <w:r w:rsidRPr="3EA1A373">
              <w:rPr>
                <w:rFonts w:ascii="Calibri" w:eastAsia="Calibri" w:hAnsi="Calibri" w:cs="Calibri"/>
                <w:color w:val="000000" w:themeColor="text1"/>
              </w:rPr>
              <w:t>All elective flexible ureteroscopies performed in a tertiary Urology unit were recorded prospectively over a 2-month period. Reusable (URF-V3, Olympus, 8.4Fr) and single-use (</w:t>
            </w:r>
            <w:proofErr w:type="spellStart"/>
            <w:r w:rsidRPr="3EA1A373">
              <w:rPr>
                <w:rFonts w:ascii="Calibri" w:eastAsia="Calibri" w:hAnsi="Calibri" w:cs="Calibri"/>
                <w:color w:val="000000" w:themeColor="text1"/>
              </w:rPr>
              <w:t>Hugemed</w:t>
            </w:r>
            <w:proofErr w:type="spellEnd"/>
            <w:r w:rsidRPr="3EA1A373">
              <w:rPr>
                <w:rFonts w:ascii="Calibri" w:eastAsia="Calibri" w:hAnsi="Calibri" w:cs="Calibri"/>
                <w:color w:val="000000" w:themeColor="text1"/>
              </w:rPr>
              <w:t xml:space="preserve">, 7.5Fr) </w:t>
            </w:r>
            <w:proofErr w:type="spellStart"/>
            <w:r w:rsidRPr="3EA1A373">
              <w:rPr>
                <w:rFonts w:ascii="Calibri" w:eastAsia="Calibri" w:hAnsi="Calibri" w:cs="Calibri"/>
                <w:color w:val="000000" w:themeColor="text1"/>
              </w:rPr>
              <w:t>fURS</w:t>
            </w:r>
            <w:proofErr w:type="spellEnd"/>
            <w:r w:rsidRPr="3EA1A373">
              <w:rPr>
                <w:rFonts w:ascii="Calibri" w:eastAsia="Calibri" w:hAnsi="Calibri" w:cs="Calibri"/>
                <w:color w:val="000000" w:themeColor="text1"/>
              </w:rPr>
              <w:t xml:space="preserve"> were available, and their use decided by the surgeon. Reason for single-use </w:t>
            </w:r>
            <w:proofErr w:type="spellStart"/>
            <w:r w:rsidRPr="3EA1A373">
              <w:rPr>
                <w:rFonts w:ascii="Calibri" w:eastAsia="Calibri" w:hAnsi="Calibri" w:cs="Calibri"/>
                <w:color w:val="000000" w:themeColor="text1"/>
              </w:rPr>
              <w:t>fURS</w:t>
            </w:r>
            <w:proofErr w:type="spellEnd"/>
            <w:r w:rsidRPr="3EA1A373">
              <w:rPr>
                <w:rFonts w:ascii="Calibri" w:eastAsia="Calibri" w:hAnsi="Calibri" w:cs="Calibri"/>
                <w:color w:val="000000" w:themeColor="text1"/>
              </w:rPr>
              <w:t xml:space="preserve"> usage, and likely outcome if they hadn’t been available, were recorded. NHS reference costs were used for the analysis.</w:t>
            </w:r>
          </w:p>
        </w:tc>
      </w:tr>
      <w:tr w:rsidR="00951E14" w14:paraId="4B201D57" w14:textId="77777777" w:rsidTr="004D412D">
        <w:trPr>
          <w:trHeight w:val="300"/>
        </w:trPr>
        <w:tc>
          <w:tcPr>
            <w:tcW w:w="9360" w:type="dxa"/>
            <w:gridSpan w:val="2"/>
            <w:shd w:val="clear" w:color="auto" w:fill="D0CECE" w:themeFill="background2" w:themeFillShade="E6"/>
          </w:tcPr>
          <w:p w14:paraId="29339CE4" w14:textId="77777777" w:rsidR="00951E14" w:rsidRDefault="00951E14" w:rsidP="004D412D">
            <w:pPr>
              <w:rPr>
                <w:rFonts w:ascii="Calibri" w:eastAsia="Calibri" w:hAnsi="Calibri" w:cs="Calibri"/>
                <w:b/>
                <w:bCs/>
              </w:rPr>
            </w:pPr>
            <w:r w:rsidRPr="3EA1A373">
              <w:rPr>
                <w:rFonts w:ascii="Calibri" w:eastAsia="Calibri" w:hAnsi="Calibri" w:cs="Calibri"/>
                <w:b/>
                <w:bCs/>
              </w:rPr>
              <w:t>Results:</w:t>
            </w:r>
          </w:p>
          <w:p w14:paraId="3C16A0B5" w14:textId="77777777" w:rsidR="00951E14" w:rsidRDefault="00951E14" w:rsidP="004D412D">
            <w:pPr>
              <w:rPr>
                <w:rFonts w:ascii="Calibri" w:eastAsia="Calibri" w:hAnsi="Calibri" w:cs="Calibri"/>
                <w:color w:val="000000" w:themeColor="text1"/>
              </w:rPr>
            </w:pPr>
            <w:r w:rsidRPr="247E7AF0">
              <w:rPr>
                <w:rFonts w:ascii="Calibri" w:eastAsia="Calibri" w:hAnsi="Calibri" w:cs="Calibri"/>
                <w:color w:val="000000" w:themeColor="text1"/>
              </w:rPr>
              <w:t xml:space="preserve">45 </w:t>
            </w:r>
            <w:bookmarkStart w:id="6" w:name="_Int_2bcnKO3V"/>
            <w:proofErr w:type="gramStart"/>
            <w:r w:rsidRPr="247E7AF0">
              <w:rPr>
                <w:rFonts w:ascii="Calibri" w:eastAsia="Calibri" w:hAnsi="Calibri" w:cs="Calibri"/>
                <w:color w:val="000000" w:themeColor="text1"/>
              </w:rPr>
              <w:t>elective</w:t>
            </w:r>
            <w:bookmarkEnd w:id="6"/>
            <w:proofErr w:type="gramEnd"/>
            <w:r w:rsidRPr="247E7AF0">
              <w:rPr>
                <w:rFonts w:ascii="Calibri" w:eastAsia="Calibri" w:hAnsi="Calibri" w:cs="Calibri"/>
                <w:color w:val="000000" w:themeColor="text1"/>
              </w:rPr>
              <w:t xml:space="preserve"> flexible ureteroscopies were performed from 5th April to 5th June 2024. Single-use </w:t>
            </w:r>
            <w:proofErr w:type="spellStart"/>
            <w:r w:rsidRPr="247E7AF0">
              <w:rPr>
                <w:rFonts w:ascii="Calibri" w:eastAsia="Calibri" w:hAnsi="Calibri" w:cs="Calibri"/>
                <w:color w:val="000000" w:themeColor="text1"/>
              </w:rPr>
              <w:t>fURS</w:t>
            </w:r>
            <w:proofErr w:type="spellEnd"/>
            <w:r w:rsidRPr="247E7AF0">
              <w:rPr>
                <w:rFonts w:ascii="Calibri" w:eastAsia="Calibri" w:hAnsi="Calibri" w:cs="Calibri"/>
                <w:color w:val="000000" w:themeColor="text1"/>
              </w:rPr>
              <w:t xml:space="preserve"> were used in 20 of 45 cases (44%). In 14 cases the rationale of using single-use </w:t>
            </w:r>
            <w:proofErr w:type="spellStart"/>
            <w:r w:rsidRPr="247E7AF0">
              <w:rPr>
                <w:rFonts w:ascii="Calibri" w:eastAsia="Calibri" w:hAnsi="Calibri" w:cs="Calibri"/>
                <w:color w:val="000000" w:themeColor="text1"/>
              </w:rPr>
              <w:t>fURS</w:t>
            </w:r>
            <w:proofErr w:type="spellEnd"/>
            <w:r w:rsidRPr="247E7AF0">
              <w:rPr>
                <w:rFonts w:ascii="Calibri" w:eastAsia="Calibri" w:hAnsi="Calibri" w:cs="Calibri"/>
                <w:color w:val="000000" w:themeColor="text1"/>
              </w:rPr>
              <w:t xml:space="preserve"> were due to difficult access (which otherwise would necessitate stent and second procedure), and in 1 case reusable </w:t>
            </w:r>
            <w:proofErr w:type="spellStart"/>
            <w:r w:rsidRPr="247E7AF0">
              <w:rPr>
                <w:rFonts w:ascii="Calibri" w:eastAsia="Calibri" w:hAnsi="Calibri" w:cs="Calibri"/>
                <w:color w:val="000000" w:themeColor="text1"/>
              </w:rPr>
              <w:t>fURS</w:t>
            </w:r>
            <w:proofErr w:type="spellEnd"/>
            <w:r w:rsidRPr="247E7AF0">
              <w:rPr>
                <w:rFonts w:ascii="Calibri" w:eastAsia="Calibri" w:hAnsi="Calibri" w:cs="Calibri"/>
                <w:color w:val="000000" w:themeColor="text1"/>
              </w:rPr>
              <w:t xml:space="preserve"> was not available. One single-use </w:t>
            </w:r>
            <w:proofErr w:type="spellStart"/>
            <w:r w:rsidRPr="247E7AF0">
              <w:rPr>
                <w:rFonts w:ascii="Calibri" w:eastAsia="Calibri" w:hAnsi="Calibri" w:cs="Calibri"/>
                <w:color w:val="000000" w:themeColor="text1"/>
              </w:rPr>
              <w:t>fURS</w:t>
            </w:r>
            <w:proofErr w:type="spellEnd"/>
            <w:r w:rsidRPr="247E7AF0">
              <w:rPr>
                <w:rFonts w:ascii="Calibri" w:eastAsia="Calibri" w:hAnsi="Calibri" w:cs="Calibri"/>
                <w:color w:val="000000" w:themeColor="text1"/>
              </w:rPr>
              <w:t xml:space="preserve"> costs £425, and NHS reference cost for elective ureteroscopy is £2172. In every case where single-use </w:t>
            </w:r>
            <w:proofErr w:type="spellStart"/>
            <w:proofErr w:type="gramStart"/>
            <w:r w:rsidRPr="247E7AF0">
              <w:rPr>
                <w:rFonts w:ascii="Calibri" w:eastAsia="Calibri" w:hAnsi="Calibri" w:cs="Calibri"/>
                <w:color w:val="000000" w:themeColor="text1"/>
              </w:rPr>
              <w:t>fURS</w:t>
            </w:r>
            <w:proofErr w:type="spellEnd"/>
            <w:proofErr w:type="gramEnd"/>
            <w:r w:rsidRPr="247E7AF0">
              <w:rPr>
                <w:rFonts w:ascii="Calibri" w:eastAsia="Calibri" w:hAnsi="Calibri" w:cs="Calibri"/>
                <w:color w:val="000000" w:themeColor="text1"/>
              </w:rPr>
              <w:t xml:space="preserve"> usage prevents the need for stenting and subsequent second procedure, this would result in a net saving of £1747. Translating this to our 15 cases would mean an average monthly saving of £13103.</w:t>
            </w:r>
          </w:p>
        </w:tc>
      </w:tr>
      <w:tr w:rsidR="00951E14" w14:paraId="3EFC25B5" w14:textId="77777777" w:rsidTr="004D412D">
        <w:trPr>
          <w:trHeight w:val="300"/>
        </w:trPr>
        <w:tc>
          <w:tcPr>
            <w:tcW w:w="9360" w:type="dxa"/>
            <w:gridSpan w:val="2"/>
            <w:shd w:val="clear" w:color="auto" w:fill="D0CECE" w:themeFill="background2" w:themeFillShade="E6"/>
          </w:tcPr>
          <w:p w14:paraId="2A12676D" w14:textId="77777777" w:rsidR="00951E14" w:rsidRDefault="00951E14" w:rsidP="004D412D">
            <w:pPr>
              <w:rPr>
                <w:rFonts w:ascii="Calibri" w:eastAsia="Calibri" w:hAnsi="Calibri" w:cs="Calibri"/>
                <w:b/>
                <w:bCs/>
              </w:rPr>
            </w:pPr>
            <w:r w:rsidRPr="3EA1A373">
              <w:rPr>
                <w:rFonts w:ascii="Calibri" w:eastAsia="Calibri" w:hAnsi="Calibri" w:cs="Calibri"/>
                <w:b/>
                <w:bCs/>
              </w:rPr>
              <w:t>Conclusion:</w:t>
            </w:r>
          </w:p>
          <w:p w14:paraId="1F168BC1" w14:textId="77777777" w:rsidR="00951E14" w:rsidRPr="001A44C0" w:rsidRDefault="00951E14" w:rsidP="004D412D">
            <w:pPr>
              <w:rPr>
                <w:rFonts w:ascii="Calibri" w:eastAsia="Calibri" w:hAnsi="Calibri" w:cs="Calibri"/>
                <w:b/>
                <w:bCs/>
              </w:rPr>
            </w:pPr>
            <w:r w:rsidRPr="3EA1A373">
              <w:rPr>
                <w:rFonts w:ascii="Calibri" w:eastAsia="Calibri" w:hAnsi="Calibri" w:cs="Calibri"/>
                <w:color w:val="000000" w:themeColor="text1"/>
              </w:rPr>
              <w:t xml:space="preserve">Our real-world practice data suggested that a “hybrid model” with smaller calibre single-use and reusable </w:t>
            </w:r>
            <w:proofErr w:type="spellStart"/>
            <w:r w:rsidRPr="3EA1A373">
              <w:rPr>
                <w:rFonts w:ascii="Calibri" w:eastAsia="Calibri" w:hAnsi="Calibri" w:cs="Calibri"/>
                <w:color w:val="000000" w:themeColor="text1"/>
              </w:rPr>
              <w:t>fURS</w:t>
            </w:r>
            <w:proofErr w:type="spellEnd"/>
            <w:r w:rsidRPr="3EA1A373">
              <w:rPr>
                <w:rFonts w:ascii="Calibri" w:eastAsia="Calibri" w:hAnsi="Calibri" w:cs="Calibri"/>
                <w:color w:val="000000" w:themeColor="text1"/>
              </w:rPr>
              <w:t xml:space="preserve"> could confer significant cost-benefits and help to reduce waiting lists.</w:t>
            </w:r>
          </w:p>
        </w:tc>
      </w:tr>
    </w:tbl>
    <w:p w14:paraId="41E56FFC" w14:textId="77777777" w:rsidR="00B1672D" w:rsidRPr="00AF00B7" w:rsidRDefault="00B1672D" w:rsidP="00C41341">
      <w:pPr>
        <w:spacing w:after="160" w:line="259" w:lineRule="auto"/>
        <w:rPr>
          <w:rFonts w:ascii="Arial" w:hAnsi="Arial" w:cs="Arial"/>
          <w:b/>
        </w:rPr>
      </w:pPr>
    </w:p>
    <w:bookmarkEnd w:id="5"/>
    <w:p w14:paraId="062C8D77" w14:textId="79138732" w:rsidR="00C41341" w:rsidRDefault="00C41341">
      <w:pPr>
        <w:spacing w:after="160" w:line="259" w:lineRule="auto"/>
        <w:rPr>
          <w:b/>
          <w:sz w:val="28"/>
          <w:szCs w:val="28"/>
          <w:u w:val="single"/>
        </w:rPr>
      </w:pPr>
    </w:p>
    <w:p w14:paraId="7D3673A2" w14:textId="6673F4B3" w:rsidR="00951E14" w:rsidRDefault="00951E14">
      <w:pPr>
        <w:spacing w:after="160" w:line="259" w:lineRule="auto"/>
        <w:rPr>
          <w:rFonts w:ascii="Arial" w:hAnsi="Arial" w:cs="Arial"/>
          <w:b/>
          <w:sz w:val="24"/>
          <w:szCs w:val="24"/>
        </w:rPr>
      </w:pPr>
      <w:r w:rsidRPr="00951E14">
        <w:rPr>
          <w:rFonts w:ascii="Arial" w:hAnsi="Arial" w:cs="Arial"/>
          <w:b/>
          <w:sz w:val="24"/>
          <w:szCs w:val="24"/>
        </w:rPr>
        <w:t>Abstract 9</w:t>
      </w:r>
    </w:p>
    <w:p w14:paraId="097F7416" w14:textId="77777777" w:rsidR="005554B7" w:rsidRDefault="005554B7">
      <w:pPr>
        <w:spacing w:after="160" w:line="259" w:lineRule="auto"/>
        <w:rPr>
          <w:rFonts w:ascii="Arial" w:hAnsi="Arial" w:cs="Arial"/>
          <w:b/>
          <w:sz w:val="24"/>
          <w:szCs w:val="24"/>
        </w:rPr>
      </w:pPr>
    </w:p>
    <w:tbl>
      <w:tblPr>
        <w:tblW w:w="9069"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6"/>
        <w:gridCol w:w="3553"/>
      </w:tblGrid>
      <w:tr w:rsidR="005554B7" w14:paraId="0950B4DA" w14:textId="77777777" w:rsidTr="005554B7">
        <w:trPr>
          <w:trHeight w:val="540"/>
        </w:trPr>
        <w:tc>
          <w:tcPr>
            <w:tcW w:w="5516" w:type="dxa"/>
            <w:tcBorders>
              <w:top w:val="single" w:sz="4" w:space="0" w:color="auto"/>
              <w:left w:val="single" w:sz="4" w:space="0" w:color="auto"/>
              <w:bottom w:val="single" w:sz="4" w:space="0" w:color="auto"/>
              <w:right w:val="single" w:sz="4" w:space="0" w:color="auto"/>
            </w:tcBorders>
          </w:tcPr>
          <w:p w14:paraId="389BFE0B" w14:textId="77777777" w:rsidR="005554B7" w:rsidRPr="00D57823" w:rsidRDefault="005554B7" w:rsidP="004D412D">
            <w:pPr>
              <w:spacing w:after="0" w:line="240" w:lineRule="auto"/>
              <w:rPr>
                <w:sz w:val="24"/>
                <w:szCs w:val="24"/>
              </w:rPr>
            </w:pPr>
            <w:r w:rsidRPr="00D57823">
              <w:rPr>
                <w:b/>
                <w:sz w:val="24"/>
                <w:szCs w:val="24"/>
              </w:rPr>
              <w:t>Name of Presenter</w:t>
            </w:r>
            <w:r w:rsidRPr="00D57823">
              <w:rPr>
                <w:sz w:val="24"/>
                <w:szCs w:val="24"/>
              </w:rPr>
              <w:t xml:space="preserve">: </w:t>
            </w:r>
            <w:r w:rsidRPr="00D57823">
              <w:rPr>
                <w:rFonts w:cs="Times New Roman"/>
                <w:sz w:val="24"/>
                <w:szCs w:val="24"/>
              </w:rPr>
              <w:t xml:space="preserve">Dr </w:t>
            </w:r>
            <w:proofErr w:type="spellStart"/>
            <w:r w:rsidRPr="00D57823">
              <w:rPr>
                <w:rFonts w:cs="Times New Roman"/>
                <w:sz w:val="24"/>
                <w:szCs w:val="24"/>
              </w:rPr>
              <w:t>Ozlem</w:t>
            </w:r>
            <w:proofErr w:type="spellEnd"/>
            <w:r w:rsidRPr="00D57823">
              <w:rPr>
                <w:rFonts w:cs="Times New Roman"/>
                <w:sz w:val="24"/>
                <w:szCs w:val="24"/>
              </w:rPr>
              <w:t xml:space="preserve"> </w:t>
            </w:r>
            <w:proofErr w:type="spellStart"/>
            <w:r w:rsidRPr="00D57823">
              <w:rPr>
                <w:rFonts w:cs="Times New Roman"/>
                <w:sz w:val="24"/>
                <w:szCs w:val="24"/>
              </w:rPr>
              <w:t>Boztepe</w:t>
            </w:r>
            <w:proofErr w:type="spellEnd"/>
          </w:p>
        </w:tc>
        <w:tc>
          <w:tcPr>
            <w:tcW w:w="3553" w:type="dxa"/>
            <w:tcBorders>
              <w:top w:val="single" w:sz="4" w:space="0" w:color="auto"/>
              <w:left w:val="single" w:sz="4" w:space="0" w:color="auto"/>
              <w:bottom w:val="single" w:sz="4" w:space="0" w:color="auto"/>
              <w:right w:val="single" w:sz="4" w:space="0" w:color="auto"/>
            </w:tcBorders>
            <w:hideMark/>
          </w:tcPr>
          <w:p w14:paraId="536DC3D0" w14:textId="77777777" w:rsidR="005554B7" w:rsidRDefault="005554B7" w:rsidP="004D412D">
            <w:pPr>
              <w:spacing w:after="0" w:line="240" w:lineRule="auto"/>
            </w:pPr>
            <w:r>
              <w:rPr>
                <w:b/>
              </w:rPr>
              <w:t>Training grade/post</w:t>
            </w:r>
            <w:r>
              <w:t>:</w:t>
            </w:r>
          </w:p>
          <w:p w14:paraId="34FDD7E8" w14:textId="77777777" w:rsidR="005554B7" w:rsidRDefault="005554B7" w:rsidP="004D412D">
            <w:pPr>
              <w:spacing w:after="0" w:line="240" w:lineRule="auto"/>
              <w:rPr>
                <w:rFonts w:cs="Times New Roman"/>
              </w:rPr>
            </w:pPr>
            <w:r>
              <w:t>Urology Teaching Fellow</w:t>
            </w:r>
          </w:p>
        </w:tc>
      </w:tr>
      <w:tr w:rsidR="005554B7" w14:paraId="6A553572" w14:textId="77777777" w:rsidTr="005554B7">
        <w:trPr>
          <w:trHeight w:val="277"/>
        </w:trPr>
        <w:tc>
          <w:tcPr>
            <w:tcW w:w="9069" w:type="dxa"/>
            <w:gridSpan w:val="2"/>
            <w:tcBorders>
              <w:top w:val="single" w:sz="4" w:space="0" w:color="auto"/>
              <w:left w:val="single" w:sz="4" w:space="0" w:color="auto"/>
              <w:bottom w:val="single" w:sz="4" w:space="0" w:color="auto"/>
              <w:right w:val="single" w:sz="4" w:space="0" w:color="auto"/>
            </w:tcBorders>
          </w:tcPr>
          <w:p w14:paraId="7836D34D" w14:textId="77777777" w:rsidR="005554B7" w:rsidRPr="00D57823" w:rsidRDefault="005554B7" w:rsidP="004D412D">
            <w:pPr>
              <w:spacing w:after="0" w:line="240" w:lineRule="auto"/>
              <w:rPr>
                <w:sz w:val="24"/>
                <w:szCs w:val="24"/>
              </w:rPr>
            </w:pPr>
            <w:r w:rsidRPr="00D57823">
              <w:rPr>
                <w:b/>
                <w:sz w:val="24"/>
                <w:szCs w:val="24"/>
              </w:rPr>
              <w:t>Institution</w:t>
            </w:r>
            <w:r w:rsidRPr="00D57823">
              <w:rPr>
                <w:sz w:val="24"/>
                <w:szCs w:val="24"/>
              </w:rPr>
              <w:t xml:space="preserve">: </w:t>
            </w:r>
            <w:r w:rsidRPr="00D57823">
              <w:rPr>
                <w:rFonts w:cs="Times New Roman"/>
                <w:sz w:val="24"/>
                <w:szCs w:val="24"/>
              </w:rPr>
              <w:t xml:space="preserve">James Cook University Hospital </w:t>
            </w:r>
          </w:p>
        </w:tc>
      </w:tr>
      <w:tr w:rsidR="005554B7" w14:paraId="249A8379" w14:textId="77777777" w:rsidTr="005554B7">
        <w:trPr>
          <w:trHeight w:val="691"/>
        </w:trPr>
        <w:tc>
          <w:tcPr>
            <w:tcW w:w="9069" w:type="dxa"/>
            <w:gridSpan w:val="2"/>
            <w:tcBorders>
              <w:top w:val="single" w:sz="4" w:space="0" w:color="auto"/>
              <w:left w:val="single" w:sz="4" w:space="0" w:color="auto"/>
              <w:bottom w:val="single" w:sz="4" w:space="0" w:color="auto"/>
              <w:right w:val="single" w:sz="4" w:space="0" w:color="auto"/>
            </w:tcBorders>
          </w:tcPr>
          <w:p w14:paraId="61F035A5" w14:textId="77777777" w:rsidR="005554B7" w:rsidRPr="00D57823" w:rsidRDefault="005554B7" w:rsidP="004D412D">
            <w:pPr>
              <w:spacing w:after="0" w:line="240" w:lineRule="auto"/>
              <w:rPr>
                <w:sz w:val="24"/>
                <w:szCs w:val="24"/>
              </w:rPr>
            </w:pPr>
            <w:r w:rsidRPr="00D57823">
              <w:rPr>
                <w:b/>
                <w:sz w:val="24"/>
                <w:szCs w:val="24"/>
              </w:rPr>
              <w:t>Title of Presentation</w:t>
            </w:r>
            <w:r w:rsidRPr="00D57823">
              <w:rPr>
                <w:sz w:val="24"/>
                <w:szCs w:val="24"/>
              </w:rPr>
              <w:t>:</w:t>
            </w:r>
          </w:p>
          <w:p w14:paraId="5746F5F9" w14:textId="77777777" w:rsidR="005554B7" w:rsidRDefault="005554B7" w:rsidP="004D412D">
            <w:pPr>
              <w:spacing w:after="0"/>
              <w:rPr>
                <w:rFonts w:cs="Arial"/>
                <w:sz w:val="24"/>
                <w:szCs w:val="24"/>
              </w:rPr>
            </w:pPr>
            <w:r>
              <w:rPr>
                <w:rFonts w:cs="Arial"/>
                <w:sz w:val="24"/>
                <w:szCs w:val="24"/>
              </w:rPr>
              <w:t xml:space="preserve">For the gel of </w:t>
            </w:r>
            <w:proofErr w:type="gramStart"/>
            <w:r>
              <w:rPr>
                <w:rFonts w:cs="Arial"/>
                <w:sz w:val="24"/>
                <w:szCs w:val="24"/>
              </w:rPr>
              <w:t>it;</w:t>
            </w:r>
            <w:proofErr w:type="gramEnd"/>
            <w:r>
              <w:rPr>
                <w:rFonts w:cs="Arial"/>
                <w:sz w:val="24"/>
                <w:szCs w:val="24"/>
              </w:rPr>
              <w:t xml:space="preserve"> w</w:t>
            </w:r>
            <w:r w:rsidRPr="00D57823">
              <w:rPr>
                <w:rFonts w:cs="Arial"/>
                <w:sz w:val="24"/>
                <w:szCs w:val="24"/>
              </w:rPr>
              <w:t xml:space="preserve">hy are we scanning men with </w:t>
            </w:r>
            <w:proofErr w:type="spellStart"/>
            <w:r w:rsidRPr="00D57823">
              <w:rPr>
                <w:rFonts w:cs="Arial"/>
                <w:sz w:val="24"/>
                <w:szCs w:val="24"/>
              </w:rPr>
              <w:t>epididymo</w:t>
            </w:r>
            <w:proofErr w:type="spellEnd"/>
            <w:r w:rsidRPr="00D57823">
              <w:rPr>
                <w:rFonts w:cs="Arial"/>
                <w:sz w:val="24"/>
                <w:szCs w:val="24"/>
              </w:rPr>
              <w:t>-orchitis?</w:t>
            </w:r>
            <w:r>
              <w:rPr>
                <w:rFonts w:cs="Arial"/>
                <w:sz w:val="24"/>
                <w:szCs w:val="24"/>
              </w:rPr>
              <w:t xml:space="preserve"> </w:t>
            </w:r>
          </w:p>
          <w:p w14:paraId="58573509" w14:textId="77777777" w:rsidR="005554B7" w:rsidRPr="00D57823" w:rsidRDefault="005554B7" w:rsidP="004D412D">
            <w:pPr>
              <w:spacing w:after="0"/>
              <w:rPr>
                <w:rFonts w:cs="Arial"/>
                <w:sz w:val="24"/>
                <w:szCs w:val="24"/>
              </w:rPr>
            </w:pPr>
          </w:p>
        </w:tc>
      </w:tr>
      <w:tr w:rsidR="005554B7" w14:paraId="5F1799B6" w14:textId="77777777" w:rsidTr="005554B7">
        <w:trPr>
          <w:trHeight w:val="277"/>
        </w:trPr>
        <w:tc>
          <w:tcPr>
            <w:tcW w:w="9069" w:type="dxa"/>
            <w:gridSpan w:val="2"/>
            <w:tcBorders>
              <w:top w:val="single" w:sz="4" w:space="0" w:color="auto"/>
              <w:left w:val="single" w:sz="4" w:space="0" w:color="auto"/>
              <w:bottom w:val="single" w:sz="4" w:space="0" w:color="auto"/>
              <w:right w:val="single" w:sz="4" w:space="0" w:color="auto"/>
            </w:tcBorders>
          </w:tcPr>
          <w:p w14:paraId="56B26D55" w14:textId="77777777" w:rsidR="005554B7" w:rsidRDefault="005554B7" w:rsidP="004D412D">
            <w:pPr>
              <w:spacing w:after="0" w:line="240" w:lineRule="auto"/>
              <w:rPr>
                <w:sz w:val="24"/>
                <w:szCs w:val="24"/>
              </w:rPr>
            </w:pPr>
            <w:r w:rsidRPr="00D57823">
              <w:rPr>
                <w:b/>
                <w:sz w:val="24"/>
                <w:szCs w:val="24"/>
              </w:rPr>
              <w:t>Authors</w:t>
            </w:r>
            <w:r w:rsidRPr="00D57823">
              <w:rPr>
                <w:sz w:val="24"/>
                <w:szCs w:val="24"/>
              </w:rPr>
              <w:t xml:space="preserve">: Dr </w:t>
            </w:r>
            <w:proofErr w:type="spellStart"/>
            <w:r w:rsidRPr="00D57823">
              <w:rPr>
                <w:sz w:val="24"/>
                <w:szCs w:val="24"/>
              </w:rPr>
              <w:t>Ozlem</w:t>
            </w:r>
            <w:proofErr w:type="spellEnd"/>
            <w:r w:rsidRPr="00D57823">
              <w:rPr>
                <w:sz w:val="24"/>
                <w:szCs w:val="24"/>
              </w:rPr>
              <w:t xml:space="preserve"> </w:t>
            </w:r>
            <w:proofErr w:type="spellStart"/>
            <w:r w:rsidRPr="00D57823">
              <w:rPr>
                <w:sz w:val="24"/>
                <w:szCs w:val="24"/>
              </w:rPr>
              <w:t>Boztepe</w:t>
            </w:r>
            <w:proofErr w:type="spellEnd"/>
            <w:r w:rsidRPr="00D57823">
              <w:rPr>
                <w:sz w:val="24"/>
                <w:szCs w:val="24"/>
              </w:rPr>
              <w:t xml:space="preserve">, Mr John Hayes, Ms </w:t>
            </w:r>
            <w:proofErr w:type="spellStart"/>
            <w:r w:rsidRPr="00D57823">
              <w:rPr>
                <w:sz w:val="24"/>
                <w:szCs w:val="24"/>
              </w:rPr>
              <w:t>Mehwash</w:t>
            </w:r>
            <w:proofErr w:type="spellEnd"/>
            <w:r w:rsidRPr="00D57823">
              <w:rPr>
                <w:sz w:val="24"/>
                <w:szCs w:val="24"/>
              </w:rPr>
              <w:t xml:space="preserve"> Nadeem</w:t>
            </w:r>
          </w:p>
          <w:p w14:paraId="16192E72" w14:textId="77777777" w:rsidR="005554B7" w:rsidRPr="00D57823" w:rsidRDefault="005554B7" w:rsidP="004D412D">
            <w:pPr>
              <w:spacing w:after="0" w:line="240" w:lineRule="auto"/>
              <w:rPr>
                <w:sz w:val="24"/>
                <w:szCs w:val="24"/>
              </w:rPr>
            </w:pPr>
          </w:p>
        </w:tc>
      </w:tr>
      <w:tr w:rsidR="005554B7" w14:paraId="43382E79" w14:textId="77777777" w:rsidTr="005554B7">
        <w:trPr>
          <w:trHeight w:val="2694"/>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14:paraId="2770D434" w14:textId="77777777" w:rsidR="005554B7" w:rsidRPr="00D57823" w:rsidRDefault="005554B7" w:rsidP="004D412D">
            <w:pPr>
              <w:spacing w:after="0" w:line="240" w:lineRule="auto"/>
              <w:rPr>
                <w:color w:val="000000"/>
                <w:sz w:val="24"/>
                <w:szCs w:val="24"/>
              </w:rPr>
            </w:pPr>
            <w:r w:rsidRPr="00D57823">
              <w:rPr>
                <w:b/>
                <w:sz w:val="24"/>
                <w:szCs w:val="24"/>
              </w:rPr>
              <w:t>Aims</w:t>
            </w:r>
            <w:r w:rsidRPr="00D57823">
              <w:rPr>
                <w:sz w:val="24"/>
                <w:szCs w:val="24"/>
              </w:rPr>
              <w:t xml:space="preserve">: </w:t>
            </w:r>
          </w:p>
          <w:p w14:paraId="2E8996C0" w14:textId="77777777" w:rsidR="005554B7" w:rsidRPr="00D57823" w:rsidRDefault="005554B7" w:rsidP="004D412D">
            <w:pPr>
              <w:spacing w:after="0" w:line="240" w:lineRule="auto"/>
              <w:rPr>
                <w:sz w:val="24"/>
                <w:szCs w:val="24"/>
              </w:rPr>
            </w:pPr>
            <w:proofErr w:type="spellStart"/>
            <w:r w:rsidRPr="00D57823">
              <w:rPr>
                <w:color w:val="000000"/>
                <w:sz w:val="24"/>
                <w:szCs w:val="24"/>
              </w:rPr>
              <w:t>Epididymo</w:t>
            </w:r>
            <w:proofErr w:type="spellEnd"/>
            <w:r w:rsidRPr="00D57823">
              <w:rPr>
                <w:color w:val="000000"/>
                <w:sz w:val="24"/>
                <w:szCs w:val="24"/>
              </w:rPr>
              <w:t>-orchitis is inflammatory process and consists of pain and swelling of testis and/or epididymis and NICE outlines this as a clinical diagnosis. An ultrasound scan (USS) is suggested if there is diagnostic uncertainty, persistent unexplained symptoms, assessment is difficult, or there is trauma.</w:t>
            </w:r>
          </w:p>
          <w:p w14:paraId="6F68FEA4" w14:textId="77777777" w:rsidR="005554B7" w:rsidRPr="00D57823" w:rsidRDefault="005554B7" w:rsidP="004D412D">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The aims are:</w:t>
            </w:r>
          </w:p>
          <w:p w14:paraId="29FDD0F1" w14:textId="77777777" w:rsidR="005554B7" w:rsidRPr="00D57823" w:rsidRDefault="005554B7" w:rsidP="004D412D">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 xml:space="preserve">1) To assess the number of patients we carry out testicular USS on who have the diagnosis of </w:t>
            </w:r>
            <w:proofErr w:type="spellStart"/>
            <w:r w:rsidRPr="00D57823">
              <w:rPr>
                <w:rFonts w:asciiTheme="minorHAnsi" w:hAnsiTheme="minorHAnsi"/>
                <w:color w:val="000000"/>
              </w:rPr>
              <w:t>epididymo</w:t>
            </w:r>
            <w:proofErr w:type="spellEnd"/>
            <w:r w:rsidRPr="00D57823">
              <w:rPr>
                <w:rFonts w:asciiTheme="minorHAnsi" w:hAnsiTheme="minorHAnsi"/>
                <w:color w:val="000000"/>
              </w:rPr>
              <w:t>-orchitis.</w:t>
            </w:r>
          </w:p>
          <w:p w14:paraId="09456EAB" w14:textId="77777777" w:rsidR="005554B7" w:rsidRDefault="005554B7" w:rsidP="004D412D">
            <w:pPr>
              <w:spacing w:after="0"/>
              <w:rPr>
                <w:color w:val="000000"/>
                <w:sz w:val="24"/>
                <w:szCs w:val="24"/>
              </w:rPr>
            </w:pPr>
            <w:r w:rsidRPr="00D57823">
              <w:rPr>
                <w:color w:val="000000"/>
                <w:sz w:val="24"/>
                <w:szCs w:val="24"/>
              </w:rPr>
              <w:t>2) To assess whether these testicular USS were appropriate</w:t>
            </w:r>
          </w:p>
          <w:p w14:paraId="47B343AD" w14:textId="77777777" w:rsidR="005554B7" w:rsidRPr="00D57823" w:rsidRDefault="005554B7" w:rsidP="004D412D">
            <w:pPr>
              <w:spacing w:after="0"/>
              <w:rPr>
                <w:color w:val="000000"/>
                <w:sz w:val="24"/>
                <w:szCs w:val="24"/>
              </w:rPr>
            </w:pPr>
          </w:p>
        </w:tc>
      </w:tr>
      <w:tr w:rsidR="005554B7" w14:paraId="3305112F" w14:textId="77777777" w:rsidTr="005554B7">
        <w:trPr>
          <w:trHeight w:val="1748"/>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14:paraId="5D5B9DA4" w14:textId="77777777" w:rsidR="005554B7" w:rsidRPr="00D57823" w:rsidRDefault="005554B7" w:rsidP="004D412D">
            <w:pPr>
              <w:spacing w:after="0" w:line="240" w:lineRule="auto"/>
              <w:rPr>
                <w:sz w:val="24"/>
                <w:szCs w:val="24"/>
              </w:rPr>
            </w:pPr>
            <w:r w:rsidRPr="00D57823">
              <w:rPr>
                <w:b/>
                <w:sz w:val="24"/>
                <w:szCs w:val="24"/>
              </w:rPr>
              <w:t>Methods</w:t>
            </w:r>
            <w:r w:rsidRPr="00D57823">
              <w:rPr>
                <w:sz w:val="24"/>
                <w:szCs w:val="24"/>
              </w:rPr>
              <w:t xml:space="preserve">: </w:t>
            </w:r>
          </w:p>
          <w:p w14:paraId="1EBB7392" w14:textId="77777777" w:rsidR="005554B7" w:rsidRPr="00D57823" w:rsidRDefault="005554B7" w:rsidP="004D412D">
            <w:pPr>
              <w:spacing w:after="0" w:line="240" w:lineRule="auto"/>
              <w:rPr>
                <w:sz w:val="24"/>
                <w:szCs w:val="24"/>
              </w:rPr>
            </w:pPr>
            <w:r w:rsidRPr="00D57823">
              <w:rPr>
                <w:color w:val="000000"/>
                <w:sz w:val="24"/>
                <w:szCs w:val="24"/>
              </w:rPr>
              <w:t>A retrospective closed loop audit was carried out on male patients aged ≥18, who were coded as ‘epididymitis’, ‘orchitis’ and ‘</w:t>
            </w:r>
            <w:proofErr w:type="spellStart"/>
            <w:r w:rsidRPr="00D57823">
              <w:rPr>
                <w:color w:val="000000"/>
                <w:sz w:val="24"/>
                <w:szCs w:val="24"/>
              </w:rPr>
              <w:t>epididymo</w:t>
            </w:r>
            <w:proofErr w:type="spellEnd"/>
            <w:r w:rsidRPr="00D57823">
              <w:rPr>
                <w:color w:val="000000"/>
                <w:sz w:val="24"/>
                <w:szCs w:val="24"/>
              </w:rPr>
              <w:t>-orchitis’. Each cycle covered a three-month period, results were provided to the Urology team after first cycle and re-audited.</w:t>
            </w:r>
          </w:p>
          <w:p w14:paraId="184D7D76" w14:textId="77777777" w:rsidR="005554B7" w:rsidRPr="00D57823" w:rsidRDefault="005554B7" w:rsidP="004D412D">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 Cycle 1: May – Aug 2023</w:t>
            </w:r>
          </w:p>
          <w:p w14:paraId="6FD2CE0A" w14:textId="77777777" w:rsidR="005554B7" w:rsidRDefault="005554B7" w:rsidP="004D412D">
            <w:pPr>
              <w:pStyle w:val="NormalWeb"/>
              <w:spacing w:before="0" w:beforeAutospacing="0" w:after="0" w:afterAutospacing="0"/>
              <w:rPr>
                <w:rFonts w:asciiTheme="minorHAnsi" w:hAnsiTheme="minorHAnsi"/>
                <w:color w:val="000000"/>
              </w:rPr>
            </w:pPr>
            <w:r w:rsidRPr="00D57823">
              <w:rPr>
                <w:rFonts w:asciiTheme="minorHAnsi" w:hAnsiTheme="minorHAnsi"/>
                <w:color w:val="000000"/>
              </w:rPr>
              <w:t>· Cycle 2: Dec 2023 – March 2024</w:t>
            </w:r>
          </w:p>
          <w:p w14:paraId="05373BFD" w14:textId="77777777" w:rsidR="005554B7" w:rsidRPr="00D57823" w:rsidRDefault="005554B7" w:rsidP="004D412D">
            <w:pPr>
              <w:pStyle w:val="NormalWeb"/>
              <w:spacing w:before="0" w:beforeAutospacing="0" w:after="0" w:afterAutospacing="0"/>
              <w:rPr>
                <w:rFonts w:asciiTheme="minorHAnsi" w:hAnsiTheme="minorHAnsi"/>
                <w:color w:val="000000"/>
              </w:rPr>
            </w:pPr>
          </w:p>
        </w:tc>
      </w:tr>
      <w:tr w:rsidR="005554B7" w14:paraId="7D851822" w14:textId="77777777" w:rsidTr="005554B7">
        <w:trPr>
          <w:trHeight w:val="1748"/>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14:paraId="6470FB5C" w14:textId="77777777" w:rsidR="005554B7" w:rsidRPr="00D57823" w:rsidRDefault="005554B7" w:rsidP="004D412D">
            <w:pPr>
              <w:spacing w:after="0" w:line="240" w:lineRule="auto"/>
              <w:rPr>
                <w:sz w:val="24"/>
                <w:szCs w:val="24"/>
              </w:rPr>
            </w:pPr>
            <w:r w:rsidRPr="00D57823">
              <w:rPr>
                <w:b/>
                <w:sz w:val="24"/>
                <w:szCs w:val="24"/>
              </w:rPr>
              <w:t>Results</w:t>
            </w:r>
            <w:r w:rsidRPr="00D57823">
              <w:rPr>
                <w:sz w:val="24"/>
                <w:szCs w:val="24"/>
              </w:rPr>
              <w:t xml:space="preserve">: </w:t>
            </w:r>
          </w:p>
          <w:p w14:paraId="5D67D69B" w14:textId="77777777" w:rsidR="005554B7" w:rsidRDefault="005554B7" w:rsidP="004D412D">
            <w:pPr>
              <w:spacing w:after="0" w:line="240" w:lineRule="auto"/>
              <w:rPr>
                <w:sz w:val="24"/>
                <w:szCs w:val="24"/>
              </w:rPr>
            </w:pPr>
            <w:r w:rsidRPr="00D57823">
              <w:rPr>
                <w:sz w:val="24"/>
                <w:szCs w:val="24"/>
              </w:rPr>
              <w:t xml:space="preserve">Cycle 1 included 48 patients, Cycle 2, 42 and the number of testicular USS reduced from 47/48 to 29/42 by Cycle 2, a 29% reduction. In Cycle 1, 29 (60%) patients were treated as </w:t>
            </w:r>
            <w:proofErr w:type="spellStart"/>
            <w:r w:rsidRPr="00D57823">
              <w:rPr>
                <w:sz w:val="24"/>
                <w:szCs w:val="24"/>
              </w:rPr>
              <w:t>epididymo</w:t>
            </w:r>
            <w:proofErr w:type="spellEnd"/>
            <w:r w:rsidRPr="00D57823">
              <w:rPr>
                <w:sz w:val="24"/>
                <w:szCs w:val="24"/>
              </w:rPr>
              <w:t xml:space="preserve">-orchitis whereas in Cycle 2, 39 (93%) patients, with approximately half of them having had an USS. Of the patients who had USS, only 51% in Cycle 1 and 45% in Cycle 2, were appropriate. </w:t>
            </w:r>
          </w:p>
          <w:p w14:paraId="73A0DE82" w14:textId="77777777" w:rsidR="005554B7" w:rsidRPr="00D57823" w:rsidRDefault="005554B7" w:rsidP="004D412D">
            <w:pPr>
              <w:spacing w:after="0" w:line="240" w:lineRule="auto"/>
              <w:rPr>
                <w:sz w:val="24"/>
                <w:szCs w:val="24"/>
              </w:rPr>
            </w:pPr>
          </w:p>
        </w:tc>
      </w:tr>
      <w:tr w:rsidR="005554B7" w14:paraId="1AE523B7" w14:textId="77777777" w:rsidTr="005554B7">
        <w:trPr>
          <w:trHeight w:val="1466"/>
        </w:trPr>
        <w:tc>
          <w:tcPr>
            <w:tcW w:w="9069" w:type="dxa"/>
            <w:gridSpan w:val="2"/>
            <w:tcBorders>
              <w:top w:val="single" w:sz="4" w:space="0" w:color="auto"/>
              <w:left w:val="single" w:sz="4" w:space="0" w:color="auto"/>
              <w:bottom w:val="single" w:sz="4" w:space="0" w:color="auto"/>
              <w:right w:val="single" w:sz="4" w:space="0" w:color="auto"/>
            </w:tcBorders>
            <w:shd w:val="clear" w:color="auto" w:fill="D9D9D9"/>
          </w:tcPr>
          <w:p w14:paraId="75FBDABE" w14:textId="77777777" w:rsidR="005554B7" w:rsidRPr="00D57823" w:rsidRDefault="005554B7" w:rsidP="004D412D">
            <w:pPr>
              <w:spacing w:after="0" w:line="240" w:lineRule="auto"/>
              <w:rPr>
                <w:sz w:val="24"/>
                <w:szCs w:val="24"/>
              </w:rPr>
            </w:pPr>
            <w:r w:rsidRPr="00D57823">
              <w:rPr>
                <w:b/>
                <w:sz w:val="24"/>
                <w:szCs w:val="24"/>
              </w:rPr>
              <w:t>Conclusion</w:t>
            </w:r>
            <w:r w:rsidRPr="00D57823">
              <w:rPr>
                <w:sz w:val="24"/>
                <w:szCs w:val="24"/>
              </w:rPr>
              <w:t xml:space="preserve">: </w:t>
            </w:r>
          </w:p>
          <w:p w14:paraId="5A0397BE" w14:textId="77777777" w:rsidR="005554B7" w:rsidRDefault="005554B7" w:rsidP="004D412D">
            <w:pPr>
              <w:spacing w:after="0" w:line="240" w:lineRule="auto"/>
              <w:rPr>
                <w:sz w:val="24"/>
                <w:szCs w:val="24"/>
              </w:rPr>
            </w:pPr>
            <w:r w:rsidRPr="00D57823">
              <w:rPr>
                <w:sz w:val="24"/>
                <w:szCs w:val="24"/>
              </w:rPr>
              <w:t xml:space="preserve">We are successfully diagnosing </w:t>
            </w:r>
            <w:proofErr w:type="spellStart"/>
            <w:r w:rsidRPr="00D57823">
              <w:rPr>
                <w:sz w:val="24"/>
                <w:szCs w:val="24"/>
              </w:rPr>
              <w:t>epididymo</w:t>
            </w:r>
            <w:proofErr w:type="spellEnd"/>
            <w:r w:rsidRPr="00D57823">
              <w:rPr>
                <w:sz w:val="24"/>
                <w:szCs w:val="24"/>
              </w:rPr>
              <w:t xml:space="preserve">-orchitis, but unnecessarily scanning 49 – 55% of patients at a cost of £49 per USS. This is an inefficient use of funds, time and resources for patients and staff and hopefully this closed loop audit will foster better practices in the future.  </w:t>
            </w:r>
          </w:p>
          <w:p w14:paraId="56E14371" w14:textId="77777777" w:rsidR="005554B7" w:rsidRPr="00D57823" w:rsidRDefault="005554B7" w:rsidP="004D412D">
            <w:pPr>
              <w:spacing w:after="0" w:line="240" w:lineRule="auto"/>
              <w:rPr>
                <w:b/>
                <w:sz w:val="24"/>
                <w:szCs w:val="24"/>
              </w:rPr>
            </w:pPr>
          </w:p>
        </w:tc>
      </w:tr>
    </w:tbl>
    <w:p w14:paraId="4D61B650" w14:textId="79952989" w:rsidR="005554B7" w:rsidRDefault="005554B7">
      <w:pPr>
        <w:spacing w:after="160" w:line="259" w:lineRule="auto"/>
        <w:rPr>
          <w:rFonts w:ascii="Arial" w:hAnsi="Arial" w:cs="Arial"/>
          <w:b/>
          <w:sz w:val="24"/>
          <w:szCs w:val="24"/>
        </w:rPr>
      </w:pPr>
    </w:p>
    <w:p w14:paraId="6A6759CA" w14:textId="19EC7F50" w:rsidR="005554B7" w:rsidRDefault="005554B7">
      <w:pPr>
        <w:spacing w:after="160" w:line="259" w:lineRule="auto"/>
        <w:rPr>
          <w:rFonts w:ascii="Arial" w:hAnsi="Arial" w:cs="Arial"/>
          <w:b/>
          <w:sz w:val="24"/>
          <w:szCs w:val="24"/>
        </w:rPr>
      </w:pPr>
    </w:p>
    <w:p w14:paraId="20DCED3E" w14:textId="56861A72" w:rsidR="005554B7" w:rsidRDefault="005554B7">
      <w:pPr>
        <w:spacing w:after="160" w:line="259" w:lineRule="auto"/>
        <w:rPr>
          <w:rFonts w:ascii="Arial" w:hAnsi="Arial" w:cs="Arial"/>
          <w:b/>
          <w:sz w:val="24"/>
          <w:szCs w:val="24"/>
        </w:rPr>
      </w:pPr>
    </w:p>
    <w:p w14:paraId="71B166B8" w14:textId="3DBEA2D8" w:rsidR="005554B7" w:rsidRDefault="005554B7">
      <w:pPr>
        <w:spacing w:after="160" w:line="259" w:lineRule="auto"/>
        <w:rPr>
          <w:rFonts w:ascii="Arial" w:hAnsi="Arial" w:cs="Arial"/>
          <w:b/>
          <w:sz w:val="24"/>
          <w:szCs w:val="24"/>
        </w:rPr>
      </w:pPr>
    </w:p>
    <w:p w14:paraId="557A1800" w14:textId="47F7A88B" w:rsidR="005554B7" w:rsidRDefault="005554B7">
      <w:pPr>
        <w:spacing w:after="160" w:line="259" w:lineRule="auto"/>
        <w:rPr>
          <w:rFonts w:ascii="Arial" w:hAnsi="Arial" w:cs="Arial"/>
          <w:b/>
          <w:sz w:val="24"/>
          <w:szCs w:val="24"/>
        </w:rPr>
      </w:pPr>
    </w:p>
    <w:p w14:paraId="0309AF98" w14:textId="42D03466" w:rsidR="005554B7" w:rsidRDefault="005554B7">
      <w:pPr>
        <w:spacing w:after="160" w:line="259" w:lineRule="auto"/>
        <w:rPr>
          <w:rFonts w:ascii="Arial" w:hAnsi="Arial" w:cs="Arial"/>
          <w:b/>
          <w:sz w:val="24"/>
          <w:szCs w:val="24"/>
        </w:rPr>
      </w:pPr>
      <w:r>
        <w:rPr>
          <w:rFonts w:ascii="Arial" w:hAnsi="Arial" w:cs="Arial"/>
          <w:b/>
          <w:sz w:val="24"/>
          <w:szCs w:val="24"/>
        </w:rPr>
        <w:t>Abstract 10</w:t>
      </w:r>
    </w:p>
    <w:p w14:paraId="4877083E" w14:textId="77777777" w:rsidR="005554B7" w:rsidRDefault="005554B7">
      <w:pPr>
        <w:spacing w:after="160" w:line="259" w:lineRule="auto"/>
        <w:rPr>
          <w:rFonts w:ascii="Arial" w:hAnsi="Arial" w:cs="Arial"/>
          <w:b/>
          <w:sz w:val="24"/>
          <w:szCs w:val="24"/>
        </w:rPr>
      </w:pP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8"/>
        <w:gridCol w:w="3528"/>
      </w:tblGrid>
      <w:tr w:rsidR="005554B7" w14:paraId="7EACCD0F" w14:textId="77777777" w:rsidTr="005554B7">
        <w:tc>
          <w:tcPr>
            <w:tcW w:w="5488" w:type="dxa"/>
            <w:tcBorders>
              <w:top w:val="single" w:sz="4" w:space="0" w:color="auto"/>
              <w:left w:val="single" w:sz="4" w:space="0" w:color="auto"/>
              <w:bottom w:val="single" w:sz="4" w:space="0" w:color="auto"/>
              <w:right w:val="single" w:sz="4" w:space="0" w:color="auto"/>
            </w:tcBorders>
          </w:tcPr>
          <w:p w14:paraId="5EF0BF0F" w14:textId="77777777" w:rsidR="005554B7" w:rsidRDefault="005554B7" w:rsidP="004D412D">
            <w:pPr>
              <w:spacing w:after="0" w:line="360" w:lineRule="auto"/>
              <w:rPr>
                <w:rFonts w:cs="Times New Roman"/>
              </w:rPr>
            </w:pPr>
            <w:r>
              <w:rPr>
                <w:b/>
              </w:rPr>
              <w:t>Name of Presenter</w:t>
            </w:r>
            <w:r>
              <w:t xml:space="preserve">: </w:t>
            </w:r>
            <w:r>
              <w:rPr>
                <w:rFonts w:cs="Times New Roman"/>
              </w:rPr>
              <w:t xml:space="preserve">Karthik </w:t>
            </w:r>
            <w:proofErr w:type="spellStart"/>
            <w:r>
              <w:rPr>
                <w:rFonts w:cs="Times New Roman"/>
              </w:rPr>
              <w:t>Rajan</w:t>
            </w:r>
            <w:proofErr w:type="spellEnd"/>
          </w:p>
          <w:p w14:paraId="54DE8E0C" w14:textId="77777777" w:rsidR="005554B7" w:rsidRPr="00E07F4D" w:rsidRDefault="005554B7" w:rsidP="004D412D">
            <w:pPr>
              <w:spacing w:after="0" w:line="360" w:lineRule="auto"/>
            </w:pPr>
          </w:p>
        </w:tc>
        <w:tc>
          <w:tcPr>
            <w:tcW w:w="3528" w:type="dxa"/>
            <w:tcBorders>
              <w:top w:val="single" w:sz="4" w:space="0" w:color="auto"/>
              <w:left w:val="single" w:sz="4" w:space="0" w:color="auto"/>
              <w:bottom w:val="single" w:sz="4" w:space="0" w:color="auto"/>
              <w:right w:val="single" w:sz="4" w:space="0" w:color="auto"/>
            </w:tcBorders>
            <w:hideMark/>
          </w:tcPr>
          <w:p w14:paraId="78FC35E7" w14:textId="77777777" w:rsidR="005554B7" w:rsidRDefault="005554B7" w:rsidP="004D412D">
            <w:pPr>
              <w:spacing w:after="0" w:line="360" w:lineRule="auto"/>
              <w:rPr>
                <w:rFonts w:cs="Times New Roman"/>
              </w:rPr>
            </w:pPr>
            <w:r>
              <w:rPr>
                <w:b/>
              </w:rPr>
              <w:t>Training grade/post</w:t>
            </w:r>
            <w:r>
              <w:t>: ST6</w:t>
            </w:r>
          </w:p>
        </w:tc>
      </w:tr>
      <w:tr w:rsidR="005554B7" w14:paraId="7A2301FD" w14:textId="77777777" w:rsidTr="005554B7">
        <w:tc>
          <w:tcPr>
            <w:tcW w:w="9016" w:type="dxa"/>
            <w:gridSpan w:val="2"/>
            <w:tcBorders>
              <w:top w:val="single" w:sz="4" w:space="0" w:color="auto"/>
              <w:left w:val="single" w:sz="4" w:space="0" w:color="auto"/>
              <w:bottom w:val="single" w:sz="4" w:space="0" w:color="auto"/>
              <w:right w:val="single" w:sz="4" w:space="0" w:color="auto"/>
            </w:tcBorders>
          </w:tcPr>
          <w:p w14:paraId="4643B940" w14:textId="77777777" w:rsidR="005554B7" w:rsidRDefault="005554B7" w:rsidP="004D412D">
            <w:pPr>
              <w:spacing w:after="0" w:line="360" w:lineRule="auto"/>
            </w:pPr>
            <w:r>
              <w:rPr>
                <w:b/>
              </w:rPr>
              <w:t>Institution</w:t>
            </w:r>
            <w:r>
              <w:t>: Freeman Hospital, Newcastle</w:t>
            </w:r>
          </w:p>
          <w:p w14:paraId="2F26AF62" w14:textId="77777777" w:rsidR="005554B7" w:rsidRPr="00E07F4D" w:rsidRDefault="005554B7" w:rsidP="004D412D">
            <w:pPr>
              <w:spacing w:after="0" w:line="360" w:lineRule="auto"/>
            </w:pPr>
          </w:p>
        </w:tc>
      </w:tr>
      <w:tr w:rsidR="005554B7" w14:paraId="58005A1A" w14:textId="77777777" w:rsidTr="005554B7">
        <w:tc>
          <w:tcPr>
            <w:tcW w:w="9016" w:type="dxa"/>
            <w:gridSpan w:val="2"/>
            <w:tcBorders>
              <w:top w:val="single" w:sz="4" w:space="0" w:color="auto"/>
              <w:left w:val="single" w:sz="4" w:space="0" w:color="auto"/>
              <w:bottom w:val="single" w:sz="4" w:space="0" w:color="auto"/>
              <w:right w:val="single" w:sz="4" w:space="0" w:color="auto"/>
            </w:tcBorders>
          </w:tcPr>
          <w:p w14:paraId="2C103A60" w14:textId="77777777" w:rsidR="005554B7" w:rsidRDefault="005554B7" w:rsidP="004D412D">
            <w:pPr>
              <w:spacing w:after="0" w:line="360" w:lineRule="auto"/>
            </w:pPr>
            <w:r>
              <w:rPr>
                <w:b/>
              </w:rPr>
              <w:t>Title of Presentation</w:t>
            </w:r>
            <w:r>
              <w:t xml:space="preserve">: </w:t>
            </w:r>
            <w:r w:rsidRPr="00111CBC">
              <w:t>Evolution and Outcomes of Retroperitoneal Lymph Node Dissection: A Two-Decade Experience</w:t>
            </w:r>
          </w:p>
          <w:p w14:paraId="059C4B45" w14:textId="77777777" w:rsidR="005554B7" w:rsidRPr="00E07F4D" w:rsidRDefault="005554B7" w:rsidP="004D412D">
            <w:pPr>
              <w:spacing w:after="0" w:line="360" w:lineRule="auto"/>
            </w:pPr>
          </w:p>
        </w:tc>
      </w:tr>
      <w:tr w:rsidR="005554B7" w14:paraId="42158020" w14:textId="77777777" w:rsidTr="005554B7">
        <w:tc>
          <w:tcPr>
            <w:tcW w:w="9016" w:type="dxa"/>
            <w:gridSpan w:val="2"/>
            <w:tcBorders>
              <w:top w:val="single" w:sz="4" w:space="0" w:color="auto"/>
              <w:left w:val="single" w:sz="4" w:space="0" w:color="auto"/>
              <w:bottom w:val="single" w:sz="4" w:space="0" w:color="auto"/>
              <w:right w:val="single" w:sz="4" w:space="0" w:color="auto"/>
            </w:tcBorders>
          </w:tcPr>
          <w:p w14:paraId="208D6E97" w14:textId="77777777" w:rsidR="005554B7" w:rsidRDefault="005554B7" w:rsidP="004D412D">
            <w:pPr>
              <w:spacing w:after="0" w:line="360" w:lineRule="auto"/>
            </w:pPr>
            <w:r>
              <w:rPr>
                <w:b/>
              </w:rPr>
              <w:t>Authors</w:t>
            </w:r>
            <w:r>
              <w:t xml:space="preserve">: K. </w:t>
            </w:r>
            <w:proofErr w:type="spellStart"/>
            <w:r>
              <w:t>Rajan</w:t>
            </w:r>
            <w:proofErr w:type="spellEnd"/>
            <w:r>
              <w:t xml:space="preserve">, I. </w:t>
            </w:r>
            <w:proofErr w:type="spellStart"/>
            <w:r>
              <w:t>Osiyemi</w:t>
            </w:r>
            <w:proofErr w:type="spellEnd"/>
            <w:r>
              <w:t xml:space="preserve">, J. Cutler, D. Thomas, E. </w:t>
            </w:r>
            <w:proofErr w:type="spellStart"/>
            <w:r>
              <w:t>Paez</w:t>
            </w:r>
            <w:proofErr w:type="spellEnd"/>
          </w:p>
          <w:p w14:paraId="6CD853D8" w14:textId="77777777" w:rsidR="005554B7" w:rsidRPr="00E07F4D" w:rsidRDefault="005554B7" w:rsidP="004D412D">
            <w:pPr>
              <w:spacing w:after="0" w:line="360" w:lineRule="auto"/>
            </w:pPr>
          </w:p>
        </w:tc>
      </w:tr>
      <w:tr w:rsidR="005554B7" w14:paraId="00FCB305" w14:textId="77777777" w:rsidTr="005554B7">
        <w:trPr>
          <w:trHeight w:val="1115"/>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4DE132CD" w14:textId="77777777" w:rsidR="005554B7" w:rsidRDefault="005554B7" w:rsidP="004D412D">
            <w:pPr>
              <w:spacing w:after="0" w:line="240" w:lineRule="auto"/>
            </w:pPr>
            <w:r>
              <w:rPr>
                <w:b/>
              </w:rPr>
              <w:t>Aims</w:t>
            </w:r>
            <w:r>
              <w:t>:</w:t>
            </w:r>
          </w:p>
          <w:p w14:paraId="5366C0E2" w14:textId="77777777" w:rsidR="005554B7" w:rsidRDefault="005554B7" w:rsidP="004D412D">
            <w:pPr>
              <w:spacing w:after="0" w:line="240" w:lineRule="auto"/>
              <w:rPr>
                <w:rFonts w:ascii="Calibri" w:hAnsi="Calibri" w:cs="Calibri"/>
                <w:color w:val="000000"/>
              </w:rPr>
            </w:pPr>
            <w:r w:rsidRPr="0014319C">
              <w:rPr>
                <w:rFonts w:ascii="Calibri" w:hAnsi="Calibri" w:cs="Calibri"/>
              </w:rPr>
              <w:t xml:space="preserve">Retroperitoneal Lymph Node Dissection (RPLND) is an </w:t>
            </w:r>
            <w:proofErr w:type="spellStart"/>
            <w:r w:rsidRPr="0014319C">
              <w:rPr>
                <w:rFonts w:ascii="Calibri" w:hAnsi="Calibri" w:cs="Calibri"/>
              </w:rPr>
              <w:t>intergral</w:t>
            </w:r>
            <w:proofErr w:type="spellEnd"/>
            <w:r w:rsidRPr="0014319C">
              <w:rPr>
                <w:rFonts w:ascii="Calibri" w:hAnsi="Calibri" w:cs="Calibri"/>
              </w:rPr>
              <w:t xml:space="preserve"> part of multi-modality management of Testicular cancer.</w:t>
            </w:r>
            <w:r>
              <w:rPr>
                <w:rFonts w:ascii="Calibri" w:hAnsi="Calibri" w:cs="Calibri"/>
              </w:rPr>
              <w:t xml:space="preserve"> </w:t>
            </w:r>
            <w:r w:rsidRPr="0014319C">
              <w:rPr>
                <w:rFonts w:ascii="Calibri" w:hAnsi="Calibri" w:cs="Calibri"/>
                <w:color w:val="000000"/>
              </w:rPr>
              <w:t>This study aims to evaluate the long-term outcomes of RPLND</w:t>
            </w:r>
            <w:r>
              <w:rPr>
                <w:rFonts w:ascii="Calibri" w:hAnsi="Calibri" w:cs="Calibri"/>
                <w:color w:val="000000"/>
              </w:rPr>
              <w:t xml:space="preserve"> </w:t>
            </w:r>
            <w:r w:rsidRPr="0014319C">
              <w:rPr>
                <w:rFonts w:ascii="Calibri" w:hAnsi="Calibri" w:cs="Calibri"/>
                <w:color w:val="000000"/>
              </w:rPr>
              <w:t xml:space="preserve">performed at a tertiary hospital over a 20-year period. </w:t>
            </w:r>
          </w:p>
          <w:p w14:paraId="280272D9" w14:textId="77777777" w:rsidR="005554B7" w:rsidRDefault="005554B7" w:rsidP="004D412D">
            <w:pPr>
              <w:spacing w:after="0" w:line="240" w:lineRule="auto"/>
              <w:rPr>
                <w:rFonts w:cs="Times New Roman"/>
              </w:rPr>
            </w:pPr>
          </w:p>
        </w:tc>
      </w:tr>
      <w:tr w:rsidR="005554B7" w14:paraId="3518E191" w14:textId="77777777" w:rsidTr="005554B7">
        <w:trPr>
          <w:trHeight w:val="1697"/>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796C8587" w14:textId="77777777" w:rsidR="005554B7" w:rsidRDefault="005554B7" w:rsidP="004D412D">
            <w:pPr>
              <w:spacing w:after="0" w:line="240" w:lineRule="auto"/>
            </w:pPr>
            <w:r>
              <w:rPr>
                <w:b/>
              </w:rPr>
              <w:t>Methods</w:t>
            </w:r>
            <w:r>
              <w:t>:</w:t>
            </w:r>
          </w:p>
          <w:p w14:paraId="534B8D85" w14:textId="77777777" w:rsidR="005554B7" w:rsidRDefault="005554B7" w:rsidP="004D412D">
            <w:pPr>
              <w:spacing w:after="0" w:line="240" w:lineRule="auto"/>
              <w:rPr>
                <w:rFonts w:ascii="Calibri" w:hAnsi="Calibri" w:cs="Calibri"/>
                <w:color w:val="000000"/>
              </w:rPr>
            </w:pPr>
            <w:r w:rsidRPr="0014319C">
              <w:rPr>
                <w:rFonts w:ascii="Calibri" w:hAnsi="Calibri" w:cs="Calibri"/>
                <w:color w:val="000000"/>
              </w:rPr>
              <w:t xml:space="preserve">A retrospective analysis of patients who underwent RPLND between </w:t>
            </w:r>
            <w:r>
              <w:rPr>
                <w:rFonts w:ascii="Calibri" w:hAnsi="Calibri" w:cs="Calibri"/>
                <w:color w:val="000000"/>
              </w:rPr>
              <w:t>February</w:t>
            </w:r>
            <w:r w:rsidRPr="0014319C">
              <w:rPr>
                <w:rFonts w:ascii="Calibri" w:hAnsi="Calibri" w:cs="Calibri"/>
                <w:color w:val="000000"/>
              </w:rPr>
              <w:t xml:space="preserve"> 200</w:t>
            </w:r>
            <w:r>
              <w:rPr>
                <w:rFonts w:ascii="Calibri" w:hAnsi="Calibri" w:cs="Calibri"/>
                <w:color w:val="000000"/>
              </w:rPr>
              <w:t>4</w:t>
            </w:r>
            <w:r w:rsidRPr="0014319C">
              <w:rPr>
                <w:rFonts w:ascii="Calibri" w:hAnsi="Calibri" w:cs="Calibri"/>
                <w:color w:val="000000"/>
              </w:rPr>
              <w:t xml:space="preserve"> and </w:t>
            </w:r>
            <w:r>
              <w:rPr>
                <w:rFonts w:ascii="Calibri" w:hAnsi="Calibri" w:cs="Calibri"/>
                <w:color w:val="000000"/>
              </w:rPr>
              <w:t>June 2024</w:t>
            </w:r>
            <w:r w:rsidRPr="0014319C">
              <w:rPr>
                <w:rFonts w:ascii="Calibri" w:hAnsi="Calibri" w:cs="Calibri"/>
                <w:color w:val="000000"/>
              </w:rPr>
              <w:t xml:space="preserve"> was conducted. Patient demographics, surgical indications, operative details, complications, histopathological findings, and oncological outcomes were recorded. Survival analysis was performed using Kaplan-Meier estimates, and complications were classified according to the </w:t>
            </w:r>
            <w:proofErr w:type="spellStart"/>
            <w:r w:rsidRPr="0014319C">
              <w:rPr>
                <w:rFonts w:ascii="Calibri" w:hAnsi="Calibri" w:cs="Calibri"/>
                <w:color w:val="000000"/>
              </w:rPr>
              <w:t>Clavien-Dindo</w:t>
            </w:r>
            <w:proofErr w:type="spellEnd"/>
            <w:r w:rsidRPr="0014319C">
              <w:rPr>
                <w:rFonts w:ascii="Calibri" w:hAnsi="Calibri" w:cs="Calibri"/>
                <w:color w:val="000000"/>
              </w:rPr>
              <w:t xml:space="preserve"> system.</w:t>
            </w:r>
          </w:p>
          <w:p w14:paraId="148107E7" w14:textId="77777777" w:rsidR="005554B7" w:rsidRPr="00CF6A80" w:rsidRDefault="005554B7" w:rsidP="004D412D">
            <w:pPr>
              <w:spacing w:after="0" w:line="240" w:lineRule="auto"/>
            </w:pPr>
          </w:p>
        </w:tc>
      </w:tr>
      <w:tr w:rsidR="005554B7" w14:paraId="7AC6EC9D" w14:textId="77777777" w:rsidTr="005554B7">
        <w:trPr>
          <w:trHeight w:val="2813"/>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16923771" w14:textId="77777777" w:rsidR="005554B7" w:rsidRDefault="005554B7" w:rsidP="004D412D">
            <w:pPr>
              <w:spacing w:after="0" w:line="240" w:lineRule="auto"/>
            </w:pPr>
            <w:r>
              <w:rPr>
                <w:b/>
              </w:rPr>
              <w:t>Results</w:t>
            </w:r>
            <w:r>
              <w:t>:</w:t>
            </w:r>
          </w:p>
          <w:p w14:paraId="0265B3A2" w14:textId="77777777" w:rsidR="005554B7" w:rsidRDefault="005554B7" w:rsidP="004D412D">
            <w:pPr>
              <w:spacing w:line="240" w:lineRule="auto"/>
              <w:rPr>
                <w:rFonts w:ascii="Calibri" w:hAnsi="Calibri" w:cs="Calibri"/>
                <w:color w:val="000000"/>
              </w:rPr>
            </w:pPr>
            <w:r w:rsidRPr="0014319C">
              <w:rPr>
                <w:rFonts w:ascii="Calibri" w:hAnsi="Calibri" w:cs="Calibri"/>
                <w:color w:val="000000"/>
              </w:rPr>
              <w:t xml:space="preserve">A total of </w:t>
            </w:r>
            <w:r>
              <w:rPr>
                <w:rFonts w:ascii="Calibri" w:hAnsi="Calibri" w:cs="Calibri"/>
                <w:color w:val="000000"/>
              </w:rPr>
              <w:t>153</w:t>
            </w:r>
            <w:r w:rsidRPr="0014319C">
              <w:rPr>
                <w:rFonts w:ascii="Calibri" w:hAnsi="Calibri" w:cs="Calibri"/>
                <w:color w:val="000000"/>
              </w:rPr>
              <w:t xml:space="preserve"> patients were included in the study, with a median </w:t>
            </w:r>
            <w:r>
              <w:rPr>
                <w:rFonts w:ascii="Calibri" w:hAnsi="Calibri" w:cs="Calibri"/>
                <w:color w:val="000000"/>
              </w:rPr>
              <w:t>age</w:t>
            </w:r>
            <w:r w:rsidRPr="0014319C">
              <w:rPr>
                <w:rFonts w:ascii="Calibri" w:hAnsi="Calibri" w:cs="Calibri"/>
                <w:color w:val="000000"/>
              </w:rPr>
              <w:t xml:space="preserve"> of </w:t>
            </w:r>
            <w:r>
              <w:rPr>
                <w:rFonts w:ascii="Calibri" w:hAnsi="Calibri" w:cs="Calibri"/>
                <w:color w:val="000000"/>
              </w:rPr>
              <w:t>32</w:t>
            </w:r>
            <w:r w:rsidRPr="0014319C">
              <w:rPr>
                <w:rFonts w:ascii="Calibri" w:hAnsi="Calibri" w:cs="Calibri"/>
                <w:color w:val="000000"/>
              </w:rPr>
              <w:t xml:space="preserve"> years</w:t>
            </w:r>
            <w:r>
              <w:rPr>
                <w:rFonts w:ascii="Calibri" w:hAnsi="Calibri" w:cs="Calibri"/>
                <w:color w:val="000000"/>
              </w:rPr>
              <w:t xml:space="preserve"> (16-68 years)</w:t>
            </w:r>
            <w:r w:rsidRPr="0014319C">
              <w:rPr>
                <w:rFonts w:ascii="Calibri" w:hAnsi="Calibri" w:cs="Calibri"/>
                <w:color w:val="000000"/>
              </w:rPr>
              <w:t>. The most common indication for RPLND was non-</w:t>
            </w:r>
            <w:proofErr w:type="spellStart"/>
            <w:r w:rsidRPr="0014319C">
              <w:rPr>
                <w:rFonts w:ascii="Calibri" w:hAnsi="Calibri" w:cs="Calibri"/>
                <w:color w:val="000000"/>
              </w:rPr>
              <w:t>seminomatous</w:t>
            </w:r>
            <w:proofErr w:type="spellEnd"/>
            <w:r w:rsidRPr="0014319C">
              <w:rPr>
                <w:rFonts w:ascii="Calibri" w:hAnsi="Calibri" w:cs="Calibri"/>
                <w:color w:val="000000"/>
              </w:rPr>
              <w:t xml:space="preserve"> germ cell tumo</w:t>
            </w:r>
            <w:r>
              <w:rPr>
                <w:rFonts w:ascii="Calibri" w:hAnsi="Calibri" w:cs="Calibri"/>
                <w:color w:val="000000"/>
              </w:rPr>
              <w:t>u</w:t>
            </w:r>
            <w:r w:rsidRPr="0014319C">
              <w:rPr>
                <w:rFonts w:ascii="Calibri" w:hAnsi="Calibri" w:cs="Calibri"/>
                <w:color w:val="000000"/>
              </w:rPr>
              <w:t>rs (NSGCT) of the testis</w:t>
            </w:r>
            <w:r>
              <w:rPr>
                <w:rFonts w:ascii="Calibri" w:hAnsi="Calibri" w:cs="Calibri"/>
                <w:color w:val="000000"/>
              </w:rPr>
              <w:t xml:space="preserve"> in 88.6%. It was performed post-chemotherapy in 86.2% with BEP regimen used in 65.9%. Bilateral template RPLND was performed in 26.8</w:t>
            </w:r>
            <w:proofErr w:type="gramStart"/>
            <w:r>
              <w:rPr>
                <w:rFonts w:ascii="Calibri" w:hAnsi="Calibri" w:cs="Calibri"/>
                <w:color w:val="000000"/>
              </w:rPr>
              <w:t>%  and</w:t>
            </w:r>
            <w:proofErr w:type="gramEnd"/>
            <w:r>
              <w:rPr>
                <w:rFonts w:ascii="Calibri" w:hAnsi="Calibri" w:cs="Calibri"/>
                <w:color w:val="000000"/>
              </w:rPr>
              <w:t xml:space="preserve"> Left Nephrectomy was the most common adjunctive procedure performed in 7.3%. </w:t>
            </w:r>
            <w:r w:rsidRPr="0014319C">
              <w:rPr>
                <w:rFonts w:ascii="Calibri" w:hAnsi="Calibri" w:cs="Calibri"/>
                <w:color w:val="000000"/>
              </w:rPr>
              <w:t>Perioperative complication rates were 15</w:t>
            </w:r>
            <w:proofErr w:type="gramStart"/>
            <w:r w:rsidRPr="0014319C">
              <w:rPr>
                <w:rFonts w:ascii="Calibri" w:hAnsi="Calibri" w:cs="Calibri"/>
                <w:color w:val="000000"/>
              </w:rPr>
              <w:t>%,</w:t>
            </w:r>
            <w:r>
              <w:rPr>
                <w:rFonts w:ascii="Calibri" w:hAnsi="Calibri" w:cs="Calibri"/>
                <w:color w:val="000000"/>
              </w:rPr>
              <w:t>.</w:t>
            </w:r>
            <w:proofErr w:type="gramEnd"/>
            <w:r w:rsidRPr="0014319C">
              <w:rPr>
                <w:rFonts w:ascii="Calibri" w:hAnsi="Calibri" w:cs="Calibri"/>
                <w:color w:val="000000"/>
              </w:rPr>
              <w:t xml:space="preserve"> with the majority being </w:t>
            </w:r>
            <w:proofErr w:type="spellStart"/>
            <w:r w:rsidRPr="0014319C">
              <w:rPr>
                <w:rFonts w:ascii="Calibri" w:hAnsi="Calibri" w:cs="Calibri"/>
                <w:color w:val="000000"/>
              </w:rPr>
              <w:t>Clavien-Dindo</w:t>
            </w:r>
            <w:proofErr w:type="spellEnd"/>
            <w:r w:rsidRPr="0014319C">
              <w:rPr>
                <w:rFonts w:ascii="Calibri" w:hAnsi="Calibri" w:cs="Calibri"/>
                <w:color w:val="000000"/>
              </w:rPr>
              <w:t xml:space="preserve"> grade I-II. </w:t>
            </w:r>
            <w:r>
              <w:rPr>
                <w:rFonts w:ascii="Calibri" w:hAnsi="Calibri" w:cs="Calibri"/>
                <w:color w:val="000000"/>
              </w:rPr>
              <w:t xml:space="preserve">The median hospital stay was 6 days (2-35 days). Post-operative histology showed necrosis, mature teratoma and viable malignancy in 22.8%, 53.7% </w:t>
            </w:r>
            <w:proofErr w:type="gramStart"/>
            <w:r>
              <w:rPr>
                <w:rFonts w:ascii="Calibri" w:hAnsi="Calibri" w:cs="Calibri"/>
                <w:color w:val="000000"/>
              </w:rPr>
              <w:t>and  21.1</w:t>
            </w:r>
            <w:proofErr w:type="gramEnd"/>
            <w:r>
              <w:rPr>
                <w:rFonts w:ascii="Calibri" w:hAnsi="Calibri" w:cs="Calibri"/>
                <w:color w:val="000000"/>
              </w:rPr>
              <w:t>%respectively. Three</w:t>
            </w:r>
            <w:r w:rsidRPr="0014319C">
              <w:rPr>
                <w:rFonts w:ascii="Calibri" w:hAnsi="Calibri" w:cs="Calibri"/>
                <w:color w:val="000000"/>
              </w:rPr>
              <w:t xml:space="preserve">- and </w:t>
            </w:r>
            <w:r>
              <w:rPr>
                <w:rFonts w:ascii="Calibri" w:hAnsi="Calibri" w:cs="Calibri"/>
                <w:color w:val="000000"/>
              </w:rPr>
              <w:t>Five</w:t>
            </w:r>
            <w:r w:rsidRPr="0014319C">
              <w:rPr>
                <w:rFonts w:ascii="Calibri" w:hAnsi="Calibri" w:cs="Calibri"/>
                <w:color w:val="000000"/>
              </w:rPr>
              <w:t xml:space="preserve">-year disease-free survival rates were </w:t>
            </w:r>
            <w:r>
              <w:rPr>
                <w:rFonts w:ascii="Calibri" w:hAnsi="Calibri" w:cs="Calibri"/>
                <w:color w:val="000000"/>
              </w:rPr>
              <w:t>88</w:t>
            </w:r>
            <w:r w:rsidRPr="0014319C">
              <w:rPr>
                <w:rFonts w:ascii="Calibri" w:hAnsi="Calibri" w:cs="Calibri"/>
                <w:color w:val="000000"/>
              </w:rPr>
              <w:t>% and 8</w:t>
            </w:r>
            <w:r>
              <w:rPr>
                <w:rFonts w:ascii="Calibri" w:hAnsi="Calibri" w:cs="Calibri"/>
                <w:color w:val="000000"/>
              </w:rPr>
              <w:t>2</w:t>
            </w:r>
            <w:r w:rsidRPr="0014319C">
              <w:rPr>
                <w:rFonts w:ascii="Calibri" w:hAnsi="Calibri" w:cs="Calibri"/>
                <w:color w:val="000000"/>
              </w:rPr>
              <w:t>%, respectively. Recurrence occurred in 12% of cases, predominantly in patients with advanced-stage disease</w:t>
            </w:r>
          </w:p>
          <w:p w14:paraId="12A90F91" w14:textId="77777777" w:rsidR="005554B7" w:rsidRPr="00CF6A80" w:rsidRDefault="005554B7" w:rsidP="004D412D">
            <w:pPr>
              <w:spacing w:line="240" w:lineRule="auto"/>
            </w:pPr>
          </w:p>
        </w:tc>
      </w:tr>
      <w:tr w:rsidR="005554B7" w14:paraId="08DA8A07" w14:textId="77777777" w:rsidTr="005554B7">
        <w:trPr>
          <w:trHeight w:val="1404"/>
        </w:trPr>
        <w:tc>
          <w:tcPr>
            <w:tcW w:w="9016" w:type="dxa"/>
            <w:gridSpan w:val="2"/>
            <w:tcBorders>
              <w:top w:val="single" w:sz="4" w:space="0" w:color="auto"/>
              <w:left w:val="single" w:sz="4" w:space="0" w:color="auto"/>
              <w:bottom w:val="single" w:sz="4" w:space="0" w:color="auto"/>
              <w:right w:val="single" w:sz="4" w:space="0" w:color="auto"/>
            </w:tcBorders>
            <w:shd w:val="clear" w:color="auto" w:fill="D9D9D9"/>
          </w:tcPr>
          <w:p w14:paraId="3C704A0E" w14:textId="77777777" w:rsidR="005554B7" w:rsidRDefault="005554B7" w:rsidP="004D412D">
            <w:pPr>
              <w:spacing w:after="0" w:line="240" w:lineRule="auto"/>
            </w:pPr>
            <w:r>
              <w:rPr>
                <w:b/>
              </w:rPr>
              <w:t>Conclusion</w:t>
            </w:r>
            <w:r>
              <w:t>:</w:t>
            </w:r>
          </w:p>
          <w:p w14:paraId="3AD5E137" w14:textId="77777777" w:rsidR="005554B7" w:rsidRDefault="005554B7" w:rsidP="004D412D">
            <w:pPr>
              <w:spacing w:after="0" w:line="240" w:lineRule="auto"/>
              <w:rPr>
                <w:rFonts w:ascii="Calibri" w:hAnsi="Calibri" w:cs="Calibri"/>
                <w:color w:val="000000"/>
              </w:rPr>
            </w:pPr>
            <w:r w:rsidRPr="008349A1">
              <w:rPr>
                <w:rFonts w:ascii="Calibri" w:hAnsi="Calibri" w:cs="Calibri"/>
                <w:color w:val="000000"/>
              </w:rPr>
              <w:t xml:space="preserve">RPLND </w:t>
            </w:r>
            <w:r>
              <w:rPr>
                <w:rFonts w:ascii="Calibri" w:hAnsi="Calibri" w:cs="Calibri"/>
                <w:color w:val="000000"/>
              </w:rPr>
              <w:t>is a</w:t>
            </w:r>
            <w:r w:rsidRPr="008349A1">
              <w:rPr>
                <w:rFonts w:ascii="Calibri" w:hAnsi="Calibri" w:cs="Calibri"/>
                <w:color w:val="000000"/>
              </w:rPr>
              <w:t xml:space="preserve"> valuable and reliable option for managing testicular cancer demonstrating favourable long-term oncological outcomes with </w:t>
            </w:r>
            <w:r>
              <w:rPr>
                <w:rFonts w:ascii="Calibri" w:hAnsi="Calibri" w:cs="Calibri"/>
                <w:color w:val="000000"/>
              </w:rPr>
              <w:t>acceptable</w:t>
            </w:r>
            <w:r w:rsidRPr="008349A1">
              <w:rPr>
                <w:rFonts w:ascii="Calibri" w:hAnsi="Calibri" w:cs="Calibri"/>
                <w:color w:val="000000"/>
              </w:rPr>
              <w:t xml:space="preserve"> complication rates</w:t>
            </w:r>
            <w:r>
              <w:rPr>
                <w:rFonts w:ascii="Calibri" w:hAnsi="Calibri" w:cs="Calibri"/>
                <w:color w:val="000000"/>
              </w:rPr>
              <w:t xml:space="preserve">. </w:t>
            </w:r>
            <w:r w:rsidRPr="008349A1">
              <w:rPr>
                <w:rFonts w:ascii="Calibri" w:hAnsi="Calibri" w:cs="Calibri"/>
                <w:color w:val="000000"/>
              </w:rPr>
              <w:t xml:space="preserve">These results highlight the importance of RPLND </w:t>
            </w:r>
            <w:r>
              <w:rPr>
                <w:rFonts w:ascii="Calibri" w:hAnsi="Calibri" w:cs="Calibri"/>
                <w:color w:val="000000"/>
              </w:rPr>
              <w:t>in combination with</w:t>
            </w:r>
            <w:r w:rsidRPr="008349A1">
              <w:rPr>
                <w:rFonts w:ascii="Calibri" w:hAnsi="Calibri" w:cs="Calibri"/>
                <w:color w:val="000000"/>
              </w:rPr>
              <w:t xml:space="preserve"> multimodal treatments like chemotherapy for improved overall survival.</w:t>
            </w:r>
          </w:p>
          <w:p w14:paraId="3A2DC490" w14:textId="77777777" w:rsidR="005554B7" w:rsidRPr="00CF6A80" w:rsidRDefault="005554B7" w:rsidP="004D412D">
            <w:pPr>
              <w:spacing w:after="0" w:line="240" w:lineRule="auto"/>
            </w:pPr>
          </w:p>
        </w:tc>
      </w:tr>
    </w:tbl>
    <w:p w14:paraId="684413E0" w14:textId="16BB57FD" w:rsidR="005554B7" w:rsidRDefault="005554B7">
      <w:pPr>
        <w:spacing w:after="160" w:line="259" w:lineRule="auto"/>
        <w:rPr>
          <w:rFonts w:ascii="Arial" w:hAnsi="Arial" w:cs="Arial"/>
          <w:b/>
          <w:sz w:val="24"/>
          <w:szCs w:val="24"/>
        </w:rPr>
      </w:pPr>
    </w:p>
    <w:p w14:paraId="2C2B2FB2" w14:textId="77777777" w:rsidR="005554B7" w:rsidRPr="00951E14" w:rsidRDefault="005554B7">
      <w:pPr>
        <w:spacing w:after="160" w:line="259" w:lineRule="auto"/>
        <w:rPr>
          <w:rFonts w:ascii="Arial" w:hAnsi="Arial" w:cs="Arial"/>
          <w:b/>
          <w:sz w:val="24"/>
          <w:szCs w:val="24"/>
        </w:rPr>
      </w:pPr>
    </w:p>
    <w:sectPr w:rsidR="005554B7" w:rsidRPr="00951E14" w:rsidSect="002D751E">
      <w:headerReference w:type="default" r:id="rId12"/>
      <w:pgSz w:w="11906" w:h="16838"/>
      <w:pgMar w:top="144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E43DA" w14:textId="77777777" w:rsidR="00CB217D" w:rsidRDefault="00CB217D" w:rsidP="00624259">
      <w:pPr>
        <w:spacing w:after="0" w:line="240" w:lineRule="auto"/>
      </w:pPr>
      <w:r>
        <w:separator/>
      </w:r>
    </w:p>
  </w:endnote>
  <w:endnote w:type="continuationSeparator" w:id="0">
    <w:p w14:paraId="37A9CD6E" w14:textId="77777777" w:rsidR="00CB217D" w:rsidRDefault="00CB217D" w:rsidP="00624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Basic Roman">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499C5" w14:textId="77777777" w:rsidR="00CB217D" w:rsidRDefault="00CB217D" w:rsidP="00624259">
      <w:pPr>
        <w:spacing w:after="0" w:line="240" w:lineRule="auto"/>
      </w:pPr>
      <w:r>
        <w:separator/>
      </w:r>
    </w:p>
  </w:footnote>
  <w:footnote w:type="continuationSeparator" w:id="0">
    <w:p w14:paraId="6984FC02" w14:textId="77777777" w:rsidR="00CB217D" w:rsidRDefault="00CB217D" w:rsidP="00624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7714" w14:textId="77777777" w:rsidR="00C71FDA" w:rsidRDefault="00C71FDA">
    <w:pPr>
      <w:pStyle w:val="Header"/>
    </w:pPr>
    <w:r>
      <w:tab/>
    </w:r>
    <w:r>
      <w:tab/>
    </w:r>
    <w:r>
      <w:rPr>
        <w:noProof/>
        <w:lang w:eastAsia="en-GB"/>
      </w:rPr>
      <w:drawing>
        <wp:inline distT="0" distB="0" distL="0" distR="0" wp14:anchorId="0655018D" wp14:editId="06293500">
          <wp:extent cx="1805050" cy="613516"/>
          <wp:effectExtent l="0" t="0" r="5080" b="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573" cy="618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FCF"/>
    <w:multiLevelType w:val="hybridMultilevel"/>
    <w:tmpl w:val="78667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1FF0E7B"/>
    <w:multiLevelType w:val="hybridMultilevel"/>
    <w:tmpl w:val="70747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D986D12"/>
    <w:multiLevelType w:val="hybridMultilevel"/>
    <w:tmpl w:val="04F23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B67398"/>
    <w:multiLevelType w:val="hybridMultilevel"/>
    <w:tmpl w:val="AF0E4B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FBA5328"/>
    <w:multiLevelType w:val="hybridMultilevel"/>
    <w:tmpl w:val="F7D67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EDE45AC"/>
    <w:multiLevelType w:val="hybridMultilevel"/>
    <w:tmpl w:val="54442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210551C"/>
    <w:multiLevelType w:val="hybridMultilevel"/>
    <w:tmpl w:val="8C589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5066FA"/>
    <w:multiLevelType w:val="hybridMultilevel"/>
    <w:tmpl w:val="AE627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49095093">
    <w:abstractNumId w:val="5"/>
  </w:num>
  <w:num w:numId="2" w16cid:durableId="1957829945">
    <w:abstractNumId w:val="4"/>
  </w:num>
  <w:num w:numId="3" w16cid:durableId="1167356894">
    <w:abstractNumId w:val="0"/>
  </w:num>
  <w:num w:numId="4" w16cid:durableId="1507789685">
    <w:abstractNumId w:val="7"/>
  </w:num>
  <w:num w:numId="5" w16cid:durableId="1900045076">
    <w:abstractNumId w:val="1"/>
  </w:num>
  <w:num w:numId="6" w16cid:durableId="1194031281">
    <w:abstractNumId w:val="3"/>
  </w:num>
  <w:num w:numId="7" w16cid:durableId="1495877917">
    <w:abstractNumId w:val="2"/>
  </w:num>
  <w:num w:numId="8" w16cid:durableId="6539900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259"/>
    <w:rsid w:val="000127AE"/>
    <w:rsid w:val="00014432"/>
    <w:rsid w:val="000752F5"/>
    <w:rsid w:val="00075CC4"/>
    <w:rsid w:val="00115B8A"/>
    <w:rsid w:val="002475B0"/>
    <w:rsid w:val="00273473"/>
    <w:rsid w:val="002C6E27"/>
    <w:rsid w:val="002D751E"/>
    <w:rsid w:val="002E0B24"/>
    <w:rsid w:val="002E7112"/>
    <w:rsid w:val="00325E71"/>
    <w:rsid w:val="00414D49"/>
    <w:rsid w:val="00456D6F"/>
    <w:rsid w:val="004955EA"/>
    <w:rsid w:val="005554B7"/>
    <w:rsid w:val="005C080D"/>
    <w:rsid w:val="005F3FDE"/>
    <w:rsid w:val="0060476C"/>
    <w:rsid w:val="00624259"/>
    <w:rsid w:val="00632246"/>
    <w:rsid w:val="00674DD8"/>
    <w:rsid w:val="006C6294"/>
    <w:rsid w:val="00757CD4"/>
    <w:rsid w:val="007A29D3"/>
    <w:rsid w:val="00803EBE"/>
    <w:rsid w:val="00815056"/>
    <w:rsid w:val="00821A1D"/>
    <w:rsid w:val="00876112"/>
    <w:rsid w:val="008B1902"/>
    <w:rsid w:val="00951E14"/>
    <w:rsid w:val="00956BAA"/>
    <w:rsid w:val="009A3262"/>
    <w:rsid w:val="009D302F"/>
    <w:rsid w:val="00A03877"/>
    <w:rsid w:val="00A11A2E"/>
    <w:rsid w:val="00A85893"/>
    <w:rsid w:val="00AF00B7"/>
    <w:rsid w:val="00B1672D"/>
    <w:rsid w:val="00B26310"/>
    <w:rsid w:val="00C41164"/>
    <w:rsid w:val="00C41341"/>
    <w:rsid w:val="00C43F21"/>
    <w:rsid w:val="00C71FDA"/>
    <w:rsid w:val="00CB217D"/>
    <w:rsid w:val="00CC7A03"/>
    <w:rsid w:val="00E009BF"/>
    <w:rsid w:val="00E8303A"/>
    <w:rsid w:val="00EA0EA4"/>
    <w:rsid w:val="00EE52E4"/>
    <w:rsid w:val="00F33E9C"/>
    <w:rsid w:val="00F876DE"/>
    <w:rsid w:val="00FD3E6E"/>
    <w:rsid w:val="00FE3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4EC9C"/>
  <w15:docId w15:val="{702095DE-20CD-48A1-B581-1AE9A091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259"/>
    <w:pPr>
      <w:spacing w:after="200" w:line="276" w:lineRule="auto"/>
    </w:pPr>
  </w:style>
  <w:style w:type="paragraph" w:styleId="Heading1">
    <w:name w:val="heading 1"/>
    <w:basedOn w:val="Normal"/>
    <w:link w:val="Heading1Char"/>
    <w:uiPriority w:val="9"/>
    <w:qFormat/>
    <w:rsid w:val="00C411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59"/>
  </w:style>
  <w:style w:type="paragraph" w:styleId="Footer">
    <w:name w:val="footer"/>
    <w:basedOn w:val="Normal"/>
    <w:link w:val="FooterChar"/>
    <w:uiPriority w:val="99"/>
    <w:unhideWhenUsed/>
    <w:rsid w:val="00624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59"/>
  </w:style>
  <w:style w:type="paragraph" w:styleId="ListParagraph">
    <w:name w:val="List Paragraph"/>
    <w:basedOn w:val="Normal"/>
    <w:uiPriority w:val="34"/>
    <w:qFormat/>
    <w:rsid w:val="00956BAA"/>
    <w:pPr>
      <w:ind w:left="720"/>
      <w:contextualSpacing/>
    </w:pPr>
  </w:style>
  <w:style w:type="paragraph" w:styleId="BalloonText">
    <w:name w:val="Balloon Text"/>
    <w:basedOn w:val="Normal"/>
    <w:link w:val="BalloonTextChar"/>
    <w:uiPriority w:val="99"/>
    <w:semiHidden/>
    <w:unhideWhenUsed/>
    <w:rsid w:val="00803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EBE"/>
    <w:rPr>
      <w:rFonts w:ascii="Tahoma" w:hAnsi="Tahoma" w:cs="Tahoma"/>
      <w:sz w:val="16"/>
      <w:szCs w:val="16"/>
    </w:rPr>
  </w:style>
  <w:style w:type="table" w:styleId="TableGrid">
    <w:name w:val="Table Grid"/>
    <w:basedOn w:val="TableNormal"/>
    <w:uiPriority w:val="59"/>
    <w:rsid w:val="005C080D"/>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13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1341"/>
    <w:rPr>
      <w:b/>
      <w:bCs/>
    </w:rPr>
  </w:style>
  <w:style w:type="table" w:styleId="MediumShading1-Accent5">
    <w:name w:val="Medium Shading 1 Accent 5"/>
    <w:basedOn w:val="TableNormal"/>
    <w:uiPriority w:val="63"/>
    <w:semiHidden/>
    <w:unhideWhenUsed/>
    <w:rsid w:val="00821A1D"/>
    <w:pPr>
      <w:spacing w:after="0" w:line="240" w:lineRule="auto"/>
    </w:p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C41164"/>
    <w:rPr>
      <w:rFonts w:ascii="Times New Roman" w:eastAsia="Times New Roman" w:hAnsi="Times New Roman" w:cs="Times New Roman"/>
      <w:b/>
      <w:bCs/>
      <w:kern w:val="36"/>
      <w:sz w:val="48"/>
      <w:szCs w:val="48"/>
      <w:lang w:eastAsia="en-GB"/>
    </w:rPr>
  </w:style>
  <w:style w:type="paragraph" w:styleId="Title">
    <w:name w:val="Title"/>
    <w:basedOn w:val="Normal"/>
    <w:link w:val="TitleChar"/>
    <w:qFormat/>
    <w:rsid w:val="00C41164"/>
    <w:pPr>
      <w:spacing w:after="0" w:line="240" w:lineRule="auto"/>
      <w:jc w:val="center"/>
    </w:pPr>
    <w:rPr>
      <w:rFonts w:ascii="Arial" w:eastAsia="Times New Roman" w:hAnsi="Arial" w:cs="Times New Roman"/>
      <w:b/>
      <w:sz w:val="52"/>
      <w:szCs w:val="20"/>
    </w:rPr>
  </w:style>
  <w:style w:type="character" w:customStyle="1" w:styleId="TitleChar">
    <w:name w:val="Title Char"/>
    <w:basedOn w:val="DefaultParagraphFont"/>
    <w:link w:val="Title"/>
    <w:rsid w:val="00C41164"/>
    <w:rPr>
      <w:rFonts w:ascii="Arial" w:eastAsia="Times New Roman" w:hAnsi="Arial" w:cs="Times New Roman"/>
      <w:b/>
      <w:sz w:val="52"/>
      <w:szCs w:val="20"/>
    </w:rPr>
  </w:style>
  <w:style w:type="paragraph" w:customStyle="1" w:styleId="Body">
    <w:name w:val="Body"/>
    <w:rsid w:val="000752F5"/>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14:textOutline w14:w="0" w14:cap="flat" w14:cmpd="sng" w14:algn="ctr">
        <w14:noFill/>
        <w14:prstDash w14:val="solid"/>
        <w14:bevel/>
      </w14:textOutline>
    </w:rPr>
  </w:style>
  <w:style w:type="paragraph" w:customStyle="1" w:styleId="Default">
    <w:name w:val="Default"/>
    <w:rsid w:val="000752F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n-GB"/>
      <w14:textOutline w14:w="0" w14:cap="flat" w14:cmpd="sng" w14:algn="ctr">
        <w14:noFill/>
        <w14:prstDash w14:val="solid"/>
        <w14:bevel/>
      </w14:textOutline>
    </w:rPr>
  </w:style>
  <w:style w:type="paragraph" w:customStyle="1" w:styleId="xmsonormal">
    <w:name w:val="x_msonormal"/>
    <w:basedOn w:val="Normal"/>
    <w:rsid w:val="009A32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B19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216">
      <w:bodyDiv w:val="1"/>
      <w:marLeft w:val="0"/>
      <w:marRight w:val="0"/>
      <w:marTop w:val="0"/>
      <w:marBottom w:val="0"/>
      <w:divBdr>
        <w:top w:val="none" w:sz="0" w:space="0" w:color="auto"/>
        <w:left w:val="none" w:sz="0" w:space="0" w:color="auto"/>
        <w:bottom w:val="none" w:sz="0" w:space="0" w:color="auto"/>
        <w:right w:val="none" w:sz="0" w:space="0" w:color="auto"/>
      </w:divBdr>
    </w:div>
    <w:div w:id="160316185">
      <w:bodyDiv w:val="1"/>
      <w:marLeft w:val="0"/>
      <w:marRight w:val="0"/>
      <w:marTop w:val="0"/>
      <w:marBottom w:val="0"/>
      <w:divBdr>
        <w:top w:val="none" w:sz="0" w:space="0" w:color="auto"/>
        <w:left w:val="none" w:sz="0" w:space="0" w:color="auto"/>
        <w:bottom w:val="none" w:sz="0" w:space="0" w:color="auto"/>
        <w:right w:val="none" w:sz="0" w:space="0" w:color="auto"/>
      </w:divBdr>
    </w:div>
    <w:div w:id="195193385">
      <w:bodyDiv w:val="1"/>
      <w:marLeft w:val="0"/>
      <w:marRight w:val="0"/>
      <w:marTop w:val="0"/>
      <w:marBottom w:val="0"/>
      <w:divBdr>
        <w:top w:val="none" w:sz="0" w:space="0" w:color="auto"/>
        <w:left w:val="none" w:sz="0" w:space="0" w:color="auto"/>
        <w:bottom w:val="none" w:sz="0" w:space="0" w:color="auto"/>
        <w:right w:val="none" w:sz="0" w:space="0" w:color="auto"/>
      </w:divBdr>
    </w:div>
    <w:div w:id="239410331">
      <w:bodyDiv w:val="1"/>
      <w:marLeft w:val="0"/>
      <w:marRight w:val="0"/>
      <w:marTop w:val="0"/>
      <w:marBottom w:val="0"/>
      <w:divBdr>
        <w:top w:val="none" w:sz="0" w:space="0" w:color="auto"/>
        <w:left w:val="none" w:sz="0" w:space="0" w:color="auto"/>
        <w:bottom w:val="none" w:sz="0" w:space="0" w:color="auto"/>
        <w:right w:val="none" w:sz="0" w:space="0" w:color="auto"/>
      </w:divBdr>
    </w:div>
    <w:div w:id="243925458">
      <w:bodyDiv w:val="1"/>
      <w:marLeft w:val="0"/>
      <w:marRight w:val="0"/>
      <w:marTop w:val="0"/>
      <w:marBottom w:val="0"/>
      <w:divBdr>
        <w:top w:val="none" w:sz="0" w:space="0" w:color="auto"/>
        <w:left w:val="none" w:sz="0" w:space="0" w:color="auto"/>
        <w:bottom w:val="none" w:sz="0" w:space="0" w:color="auto"/>
        <w:right w:val="none" w:sz="0" w:space="0" w:color="auto"/>
      </w:divBdr>
    </w:div>
    <w:div w:id="659965357">
      <w:bodyDiv w:val="1"/>
      <w:marLeft w:val="0"/>
      <w:marRight w:val="0"/>
      <w:marTop w:val="0"/>
      <w:marBottom w:val="0"/>
      <w:divBdr>
        <w:top w:val="none" w:sz="0" w:space="0" w:color="auto"/>
        <w:left w:val="none" w:sz="0" w:space="0" w:color="auto"/>
        <w:bottom w:val="none" w:sz="0" w:space="0" w:color="auto"/>
        <w:right w:val="none" w:sz="0" w:space="0" w:color="auto"/>
      </w:divBdr>
    </w:div>
    <w:div w:id="763184925">
      <w:bodyDiv w:val="1"/>
      <w:marLeft w:val="0"/>
      <w:marRight w:val="0"/>
      <w:marTop w:val="0"/>
      <w:marBottom w:val="0"/>
      <w:divBdr>
        <w:top w:val="none" w:sz="0" w:space="0" w:color="auto"/>
        <w:left w:val="none" w:sz="0" w:space="0" w:color="auto"/>
        <w:bottom w:val="none" w:sz="0" w:space="0" w:color="auto"/>
        <w:right w:val="none" w:sz="0" w:space="0" w:color="auto"/>
      </w:divBdr>
    </w:div>
    <w:div w:id="858277767">
      <w:bodyDiv w:val="1"/>
      <w:marLeft w:val="0"/>
      <w:marRight w:val="0"/>
      <w:marTop w:val="0"/>
      <w:marBottom w:val="0"/>
      <w:divBdr>
        <w:top w:val="none" w:sz="0" w:space="0" w:color="auto"/>
        <w:left w:val="none" w:sz="0" w:space="0" w:color="auto"/>
        <w:bottom w:val="none" w:sz="0" w:space="0" w:color="auto"/>
        <w:right w:val="none" w:sz="0" w:space="0" w:color="auto"/>
      </w:divBdr>
    </w:div>
    <w:div w:id="1311329888">
      <w:bodyDiv w:val="1"/>
      <w:marLeft w:val="0"/>
      <w:marRight w:val="0"/>
      <w:marTop w:val="0"/>
      <w:marBottom w:val="0"/>
      <w:divBdr>
        <w:top w:val="none" w:sz="0" w:space="0" w:color="auto"/>
        <w:left w:val="none" w:sz="0" w:space="0" w:color="auto"/>
        <w:bottom w:val="none" w:sz="0" w:space="0" w:color="auto"/>
        <w:right w:val="none" w:sz="0" w:space="0" w:color="auto"/>
      </w:divBdr>
    </w:div>
    <w:div w:id="1319767739">
      <w:bodyDiv w:val="1"/>
      <w:marLeft w:val="0"/>
      <w:marRight w:val="0"/>
      <w:marTop w:val="0"/>
      <w:marBottom w:val="0"/>
      <w:divBdr>
        <w:top w:val="none" w:sz="0" w:space="0" w:color="auto"/>
        <w:left w:val="none" w:sz="0" w:space="0" w:color="auto"/>
        <w:bottom w:val="none" w:sz="0" w:space="0" w:color="auto"/>
        <w:right w:val="none" w:sz="0" w:space="0" w:color="auto"/>
      </w:divBdr>
    </w:div>
    <w:div w:id="1345282586">
      <w:bodyDiv w:val="1"/>
      <w:marLeft w:val="0"/>
      <w:marRight w:val="0"/>
      <w:marTop w:val="0"/>
      <w:marBottom w:val="0"/>
      <w:divBdr>
        <w:top w:val="none" w:sz="0" w:space="0" w:color="auto"/>
        <w:left w:val="none" w:sz="0" w:space="0" w:color="auto"/>
        <w:bottom w:val="none" w:sz="0" w:space="0" w:color="auto"/>
        <w:right w:val="none" w:sz="0" w:space="0" w:color="auto"/>
      </w:divBdr>
    </w:div>
    <w:div w:id="1346715502">
      <w:bodyDiv w:val="1"/>
      <w:marLeft w:val="0"/>
      <w:marRight w:val="0"/>
      <w:marTop w:val="0"/>
      <w:marBottom w:val="0"/>
      <w:divBdr>
        <w:top w:val="none" w:sz="0" w:space="0" w:color="auto"/>
        <w:left w:val="none" w:sz="0" w:space="0" w:color="auto"/>
        <w:bottom w:val="none" w:sz="0" w:space="0" w:color="auto"/>
        <w:right w:val="none" w:sz="0" w:space="0" w:color="auto"/>
      </w:divBdr>
    </w:div>
    <w:div w:id="1383476617">
      <w:bodyDiv w:val="1"/>
      <w:marLeft w:val="0"/>
      <w:marRight w:val="0"/>
      <w:marTop w:val="0"/>
      <w:marBottom w:val="0"/>
      <w:divBdr>
        <w:top w:val="none" w:sz="0" w:space="0" w:color="auto"/>
        <w:left w:val="none" w:sz="0" w:space="0" w:color="auto"/>
        <w:bottom w:val="none" w:sz="0" w:space="0" w:color="auto"/>
        <w:right w:val="none" w:sz="0" w:space="0" w:color="auto"/>
      </w:divBdr>
    </w:div>
    <w:div w:id="1554847605">
      <w:bodyDiv w:val="1"/>
      <w:marLeft w:val="0"/>
      <w:marRight w:val="0"/>
      <w:marTop w:val="0"/>
      <w:marBottom w:val="0"/>
      <w:divBdr>
        <w:top w:val="none" w:sz="0" w:space="0" w:color="auto"/>
        <w:left w:val="none" w:sz="0" w:space="0" w:color="auto"/>
        <w:bottom w:val="none" w:sz="0" w:space="0" w:color="auto"/>
        <w:right w:val="none" w:sz="0" w:space="0" w:color="auto"/>
      </w:divBdr>
    </w:div>
    <w:div w:id="18593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2BD03.4C9EE9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5126</Words>
  <Characters>29220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Rogers</dc:creator>
  <cp:lastModifiedBy>Fay Kirkup</cp:lastModifiedBy>
  <cp:revision>2</cp:revision>
  <cp:lastPrinted>2022-10-31T17:45:00Z</cp:lastPrinted>
  <dcterms:created xsi:type="dcterms:W3CDTF">2024-10-27T20:59:00Z</dcterms:created>
  <dcterms:modified xsi:type="dcterms:W3CDTF">2024-10-27T20:59:00Z</dcterms:modified>
</cp:coreProperties>
</file>